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1C0C95">
        <w:rPr>
          <w:b/>
          <w:sz w:val="24"/>
          <w:szCs w:val="24"/>
        </w:rPr>
        <w:t>5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 xml:space="preserve">określonego w </w:t>
            </w:r>
            <w:r w:rsidR="00732441">
              <w:t>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3A788E" w:rsidP="00B66C37">
            <w:pPr>
              <w:jc w:val="both"/>
              <w:rPr>
                <w:b/>
              </w:rPr>
            </w:pPr>
            <w:r>
              <w:rPr>
                <w:b/>
              </w:rPr>
              <w:t>Letnie</w:t>
            </w:r>
            <w:bookmarkStart w:id="0" w:name="_GoBack"/>
            <w:bookmarkEnd w:id="0"/>
            <w:r w:rsidR="00D96BEA">
              <w:rPr>
                <w:b/>
              </w:rPr>
              <w:t xml:space="preserve"> </w:t>
            </w:r>
            <w:r w:rsidR="00732441">
              <w:rPr>
                <w:b/>
              </w:rPr>
              <w:t>wydarzenia kulturalne organizowane w Krakowie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39F5" w:rsidRPr="001F53A9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:rsidR="001F53A9" w:rsidRPr="001F53A9" w:rsidRDefault="001F53A9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1F53A9">
              <w:rPr>
                <w:b/>
                <w:bCs/>
                <w:iCs/>
              </w:rPr>
              <w:t>sposób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</w:p>
          <w:p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86640D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553B6C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 w:val="restart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lastRenderedPageBreak/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rPr>
                <w:b/>
              </w:rPr>
              <w:t xml:space="preserve">3a) Proponowana jakość wykonania zadania publicznego: </w:t>
            </w:r>
            <w:r w:rsidRPr="00553B6C">
              <w:t>przy ocenie oferty będą brane pod uwagę: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BC177F" w:rsidRPr="00D67B8E" w:rsidRDefault="00BC177F" w:rsidP="00BC177F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396B12" w:rsidRDefault="00BC177F" w:rsidP="00396B1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396B12" w:rsidRPr="00396B12" w:rsidRDefault="00396B12" w:rsidP="00396B12">
            <w:pPr>
              <w:numPr>
                <w:ilvl w:val="0"/>
                <w:numId w:val="3"/>
              </w:numPr>
              <w:ind w:left="357"/>
              <w:contextualSpacing/>
            </w:pPr>
            <w:r w:rsidRPr="00553B6C">
              <w:t xml:space="preserve">liczba planowanych wydarzeń, form </w:t>
            </w:r>
            <w:r w:rsidRPr="00396B12">
              <w:rPr>
                <w:color w:val="000000" w:themeColor="text1"/>
              </w:rPr>
              <w:t>aktywności, liczba materiałów informacyjnych.</w:t>
            </w:r>
          </w:p>
          <w:p w:rsidR="00BC177F" w:rsidRPr="00396B12" w:rsidRDefault="00BC177F" w:rsidP="0086640D">
            <w:pPr>
              <w:ind w:left="397"/>
              <w:contextualSpacing/>
              <w:rPr>
                <w:color w:val="FF0000"/>
              </w:rPr>
            </w:pPr>
          </w:p>
          <w:p w:rsidR="00396B12" w:rsidRDefault="00314277" w:rsidP="00396B12">
            <w:r>
              <w:rPr>
                <w:color w:val="000000" w:themeColor="text1"/>
              </w:rPr>
              <w:t>I</w:t>
            </w:r>
            <w:r w:rsidR="00D462F5">
              <w:t xml:space="preserve">nne </w:t>
            </w:r>
            <w:r w:rsidR="005D3B0D" w:rsidRPr="00396B12">
              <w:t>działania mające wpływ na jakość realizacji zadania, przekraczające zakres określony w warunkach</w:t>
            </w:r>
            <w:r w:rsidR="0086640D">
              <w:t xml:space="preserve"> ogłoszenia</w:t>
            </w:r>
            <w:r w:rsidR="00732441">
              <w:t xml:space="preserve">, </w:t>
            </w:r>
            <w:r w:rsidR="005D3B0D" w:rsidRPr="00396B12">
              <w:t>w tym</w:t>
            </w:r>
            <w:r w:rsidR="00396B12" w:rsidRPr="00396B12">
              <w:t>:</w:t>
            </w:r>
            <w:r w:rsidR="005D3B0D" w:rsidRPr="00396B12">
              <w:t xml:space="preserve"> </w:t>
            </w:r>
          </w:p>
          <w:p w:rsidR="004619BC" w:rsidRPr="009A0FA3" w:rsidRDefault="004619BC" w:rsidP="00396B12">
            <w:pPr>
              <w:numPr>
                <w:ilvl w:val="0"/>
                <w:numId w:val="4"/>
              </w:numPr>
              <w:ind w:left="709" w:hanging="567"/>
              <w:jc w:val="both"/>
              <w:rPr>
                <w:i/>
              </w:rPr>
            </w:pPr>
            <w:r w:rsidRPr="004619BC">
              <w:t xml:space="preserve">realizacja zadania z dbałością o równe traktowanie wszystkich uczestników ze względu na płeć, rasę, pochodzenie etniczne, narodowość, religię, wyznanie, światopogląd, niepełnosprawność, wiek lub orientację seksualną w myśl  ustawy z dnia 3 grudnia 2010 r. o wdrożeniu niektórych </w:t>
            </w:r>
            <w:r w:rsidRPr="009A0FA3">
              <w:lastRenderedPageBreak/>
              <w:t xml:space="preserve">przepisów Unii Europejskiej w zakresie </w:t>
            </w:r>
            <w:r w:rsidRPr="009A0FA3">
              <w:rPr>
                <w:rStyle w:val="Uwydatnienie"/>
                <w:i w:val="0"/>
              </w:rPr>
              <w:t>równego traktowania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4619BC">
              <w:t>eliminację z użycia przy wykonywaniu</w:t>
            </w:r>
            <w:r w:rsidRPr="00396B12">
              <w:t xml:space="preserve">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396B12"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5D3B0D" w:rsidRPr="00553B6C" w:rsidRDefault="005D3B0D" w:rsidP="00396B12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 xml:space="preserve">do </w:t>
            </w:r>
            <w:r w:rsidR="00A950A5">
              <w:t>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="005D7234">
              <w:rPr>
                <w:b/>
              </w:rPr>
              <w:t xml:space="preserve"> </w:t>
            </w:r>
            <w:r w:rsidRPr="00CC1AD3">
              <w:rPr>
                <w:b/>
              </w:rPr>
              <w:t xml:space="preserve"> wkład finansowy</w:t>
            </w:r>
            <w:r w:rsidR="005D7234">
              <w:rPr>
                <w:b/>
              </w:rPr>
              <w:t xml:space="preserve">=10% </w:t>
            </w:r>
            <w:r w:rsidRPr="00CC1AD3">
              <w:rPr>
                <w:b/>
              </w:rPr>
              <w:t xml:space="preserve"> – 1 pkt, 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>
              <w:lastRenderedPageBreak/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>sposób 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12582" w:type="dxa"/>
            <w:gridSpan w:val="11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Przewodniczący Komisji – przedstawiciel komórki merytorycznej, odpowiedzialnej za dany </w:t>
            </w:r>
            <w:r w:rsidR="009E29AF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</w:t>
            </w:r>
            <w:r w:rsidR="009E29AF" w:rsidRPr="009E29AF">
              <w:rPr>
                <w:color w:val="000000" w:themeColor="text1"/>
              </w:rPr>
              <w:t xml:space="preserve">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</w:t>
            </w:r>
            <w:r w:rsidR="009E29AF" w:rsidRPr="009E29AF">
              <w:rPr>
                <w:color w:val="000000" w:themeColor="text1"/>
              </w:rPr>
              <w:t>dany 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dany </w:t>
            </w:r>
            <w:r w:rsidR="009E29AF" w:rsidRPr="00553B6C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</w:t>
            </w:r>
            <w:r w:rsidR="00010BBC">
              <w:t xml:space="preserve">wkład finansowy własny </w:t>
            </w:r>
          </w:p>
          <w:p w:rsidR="005D3B0D" w:rsidRPr="00553B6C" w:rsidRDefault="005D3B0D" w:rsidP="00010BBC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="00010BBC">
              <w:t xml:space="preserve">i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10BBC"/>
    <w:rsid w:val="000339F5"/>
    <w:rsid w:val="00077407"/>
    <w:rsid w:val="000F2DE6"/>
    <w:rsid w:val="00116898"/>
    <w:rsid w:val="001A62FD"/>
    <w:rsid w:val="001C0C95"/>
    <w:rsid w:val="001F53A9"/>
    <w:rsid w:val="0022513C"/>
    <w:rsid w:val="00314277"/>
    <w:rsid w:val="00350D02"/>
    <w:rsid w:val="00373CCB"/>
    <w:rsid w:val="00396B12"/>
    <w:rsid w:val="003A788E"/>
    <w:rsid w:val="003B36ED"/>
    <w:rsid w:val="003E3912"/>
    <w:rsid w:val="004619BC"/>
    <w:rsid w:val="004F7602"/>
    <w:rsid w:val="00587A9C"/>
    <w:rsid w:val="005B77C7"/>
    <w:rsid w:val="005D3B0D"/>
    <w:rsid w:val="005D7234"/>
    <w:rsid w:val="00655B4D"/>
    <w:rsid w:val="00680A47"/>
    <w:rsid w:val="00732441"/>
    <w:rsid w:val="00757ED2"/>
    <w:rsid w:val="00831266"/>
    <w:rsid w:val="0086640D"/>
    <w:rsid w:val="008E3C79"/>
    <w:rsid w:val="009A0FA3"/>
    <w:rsid w:val="009E29AF"/>
    <w:rsid w:val="009F118F"/>
    <w:rsid w:val="00A950A5"/>
    <w:rsid w:val="00AD58B7"/>
    <w:rsid w:val="00B27B25"/>
    <w:rsid w:val="00B66C37"/>
    <w:rsid w:val="00BB0B9C"/>
    <w:rsid w:val="00BC177F"/>
    <w:rsid w:val="00C46665"/>
    <w:rsid w:val="00D462F5"/>
    <w:rsid w:val="00D96BEA"/>
    <w:rsid w:val="00E809F8"/>
    <w:rsid w:val="00EA5490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A6C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CD92-8F7B-4959-B8D3-6A5B3490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27</cp:revision>
  <cp:lastPrinted>2022-02-15T09:52:00Z</cp:lastPrinted>
  <dcterms:created xsi:type="dcterms:W3CDTF">2021-03-05T15:48:00Z</dcterms:created>
  <dcterms:modified xsi:type="dcterms:W3CDTF">2022-04-26T13:09:00Z</dcterms:modified>
</cp:coreProperties>
</file>