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7" w:rsidRPr="00643315" w:rsidRDefault="009052F7" w:rsidP="00905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052F7" w:rsidRPr="00643315" w:rsidTr="00130034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D9D9D9" w:themeFill="background1" w:themeFillShade="D9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Karta oceny merytorycznej 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9052F7" w:rsidRPr="00643315" w:rsidTr="00130034">
        <w:trPr>
          <w:trHeight w:val="684"/>
        </w:trPr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5C6C0F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Działalność kulturalna prowadzona w kinach studyjnych funkcjonujących na obszarze Gminy Miejskiej Kraków </w:t>
            </w: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9052F7" w:rsidRPr="00643315" w:rsidTr="00130034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Możliwość realizacji zadania publicznego przez oferenta, w tym:</w:t>
            </w:r>
          </w:p>
          <w:p w:rsidR="00E952AF" w:rsidRPr="00E952AF" w:rsidRDefault="00E952AF" w:rsidP="00E952AF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udokumentowane doświadczenie w realizacji podobnych projektów, rekomendacje</w:t>
            </w:r>
          </w:p>
          <w:p w:rsidR="00E952AF" w:rsidRPr="00E952AF" w:rsidRDefault="00E952AF" w:rsidP="00E952AF">
            <w:pPr>
              <w:numPr>
                <w:ilvl w:val="0"/>
                <w:numId w:val="7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istnienie wewnętrznej struktury zarządzania odpowiedniej do wielkości organizacji, jej etosu, celów i funkcji; </w:t>
            </w:r>
          </w:p>
          <w:p w:rsidR="00E952AF" w:rsidRPr="00E952AF" w:rsidRDefault="00E952AF" w:rsidP="00E952AF">
            <w:pPr>
              <w:numPr>
                <w:ilvl w:val="0"/>
                <w:numId w:val="8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adekwatność celów, rezultatów i grup docelowych. </w:t>
            </w:r>
          </w:p>
          <w:p w:rsidR="009052F7" w:rsidRPr="00643315" w:rsidRDefault="00E952AF" w:rsidP="00E952AF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E952A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Kalkulacja kosztów realizacji zadania publicznego, w tym:</w:t>
            </w:r>
          </w:p>
          <w:p w:rsidR="009052F7" w:rsidRPr="00643315" w:rsidRDefault="009052F7" w:rsidP="009052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2a) w odniesieniu do zakresu rzeczowego zadania publicznego: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ocenie oferty będą brane pod uwagę m.in. zakładane rezultaty np.: </w:t>
            </w:r>
          </w:p>
          <w:p w:rsidR="009052F7" w:rsidRPr="00643315" w:rsidRDefault="009052F7" w:rsidP="009052F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celowość i adekwatność planowanych kosztów merytorycznych i kosztów obsługi zadania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stosunku do planowanych rezultatów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</w:t>
            </w:r>
          </w:p>
          <w:p w:rsidR="009052F7" w:rsidRPr="00643315" w:rsidRDefault="009052F7" w:rsidP="009052F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sposób oszacowania wydatków.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6F6C79" w:rsidRPr="006F6C79" w:rsidRDefault="006F6C79" w:rsidP="006F6C7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F6C7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2b) przeznaczenie co najmniej 20% planowanej dotacji na koszty związane z udostępnieniem przestrzeni kina (wraz z obsługą) na realizację przedsięwzięcia:</w:t>
            </w:r>
          </w:p>
          <w:p w:rsidR="006F6C79" w:rsidRPr="006F6C79" w:rsidRDefault="006F6C79" w:rsidP="006F6C7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F6C7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&lt; 20% - 0 pkt</w:t>
            </w:r>
          </w:p>
          <w:p w:rsidR="009052F7" w:rsidRPr="00643315" w:rsidRDefault="006F6C79" w:rsidP="006F6C7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F6C7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≥ 20% - 5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43315">
              <w:rPr>
                <w:rFonts w:ascii="Times New Roman" w:hAnsi="Times New Roman"/>
                <w:sz w:val="20"/>
                <w:szCs w:val="20"/>
              </w:rPr>
              <w:t xml:space="preserve">od 0 pkt do 5 pkt 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 w:val="restart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3a) Proponowana jakość wykonania zadania publicznego: przy ocenie oferty będą brane pod uwagę m.in.: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diagnoza potrzeb (charakterystyka grupy docelowej i adekwatność sposobu rozwiązania jej problemów/zaspakajania potrzeb),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proponowane sposoby zapewnienia jakości wykonania zadania,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alternatywnych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uczestników zadania i sposób rekrutacji uczestników,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planowane do osiągnięcia mierniki i wskaźniki,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identyfikacja </w:t>
            </w:r>
            <w:proofErr w:type="spellStart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ryzyk</w:t>
            </w:r>
            <w:proofErr w:type="spellEnd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alternatywach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zakładane cele i opis zakładanych rezultatów realizacji zadania (rezultaty realizacji zadania </w:t>
            </w: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adekwatność celów do zdiagnozowanych potrzeb,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metodologia ewaluacji realizacji zadania i propozycje narzędzi ewaluacji,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planowanych wydarzeń, form aktywności, liczba materiałów informacyjnych,</w:t>
            </w:r>
          </w:p>
          <w:p w:rsidR="00E952AF" w:rsidRPr="00F66C45" w:rsidRDefault="00E952AF" w:rsidP="00F66C4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Inne działania mające wpływ na jakość realizacji zadania, przekraczające zakres określony w warunkach ogłoszenia, w tym: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realizacja zadania z dbałością o równe traktowanie wszystkich uczestników ze względu na płeć, rasę, 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E952AF" w:rsidRPr="00E952AF" w:rsidRDefault="00E952AF" w:rsidP="00E952AF">
            <w:pPr>
              <w:spacing w:after="160" w:line="259" w:lineRule="auto"/>
              <w:ind w:left="643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15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do 6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finansowego: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&lt;10%– 0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 wkład finansowy=10%  – 1 pkt, 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˃10% - &lt;=15% - 2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za wkład finansowy ˃15% i więcej 3 pkt</w:t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1603"/>
        </w:trPr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niefinansowego wkładu osobowego oraz rzeczowego: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za wkład niefinansowy &lt;10%– 0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10% – 1 pkt, 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˃10% - ≤20% - 2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˃20% 3 pkt.</w:t>
            </w: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643315">
              <w:rPr>
                <w:rFonts w:ascii="Times New Roman" w:hAnsi="Times New Roman"/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C72B4" w:rsidRPr="00643315" w:rsidRDefault="002C72B4" w:rsidP="002C72B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</w:rPr>
              <w:t>W przypadku oferentów, którzy w latach poprzednich realizowali zlecone zadania publiczne przy ocenie i analizie oferty będą brane pod uwagę m.in.: 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380"/>
        </w:trPr>
        <w:tc>
          <w:tcPr>
            <w:tcW w:w="12582" w:type="dxa"/>
            <w:gridSpan w:val="11"/>
          </w:tcPr>
          <w:p w:rsidR="002C72B4" w:rsidRPr="00643315" w:rsidRDefault="002C72B4" w:rsidP="002C72B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</w:t>
      </w:r>
      <w:r w:rsidRPr="006433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=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50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= 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9052F7" w:rsidRPr="00643315" w:rsidRDefault="009052F7" w:rsidP="009052F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144" w:type="dxa"/>
            <w:gridSpan w:val="3"/>
          </w:tcPr>
          <w:p w:rsidR="009052F7" w:rsidRPr="00643315" w:rsidRDefault="009052F7" w:rsidP="009052F7">
            <w:pPr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Uwagi i  </w:t>
            </w: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9052F7" w:rsidRPr="00643315" w:rsidRDefault="009052F7" w:rsidP="009052F7">
            <w:pPr>
              <w:tabs>
                <w:tab w:val="left" w:pos="10620"/>
              </w:tabs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ab/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3a.  Proponowana jakość wykonania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3b.  Kwalifikacje i doświadczenie osób, przy udziale, których oferent będzie realizować zadanie publiczne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udział środków</w:t>
            </w: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własnych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wkład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własny niefinansowy (w tym osobowy i rzeczowy) </w:t>
            </w:r>
          </w:p>
          <w:p w:rsidR="009052F7" w:rsidRPr="00643315" w:rsidRDefault="009052F7" w:rsidP="009052F7">
            <w:pPr>
              <w:contextualSpacing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52F7" w:rsidRPr="00643315" w:rsidTr="00130034">
        <w:tc>
          <w:tcPr>
            <w:tcW w:w="9429" w:type="dxa"/>
            <w:gridSpan w:val="2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rPr>
          <w:rFonts w:ascii="Times New Roman" w:eastAsia="Times New Roman" w:hAnsi="Times New Roman" w:cs="Times New Roman"/>
        </w:rPr>
      </w:pPr>
    </w:p>
    <w:p w:rsidR="00280225" w:rsidRPr="00643315" w:rsidRDefault="00280225">
      <w:pPr>
        <w:rPr>
          <w:rFonts w:ascii="Times New Roman" w:hAnsi="Times New Roman" w:cs="Times New Roman"/>
        </w:rPr>
      </w:pPr>
    </w:p>
    <w:sectPr w:rsidR="00280225" w:rsidRPr="00643315" w:rsidSect="00BE1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55F"/>
    <w:multiLevelType w:val="hybridMultilevel"/>
    <w:tmpl w:val="9A72AF26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311"/>
    <w:multiLevelType w:val="hybridMultilevel"/>
    <w:tmpl w:val="95767198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74007A84"/>
    <w:multiLevelType w:val="hybridMultilevel"/>
    <w:tmpl w:val="CEAADDE0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F7"/>
    <w:rsid w:val="00280225"/>
    <w:rsid w:val="002C72B4"/>
    <w:rsid w:val="00321B50"/>
    <w:rsid w:val="005C6C0F"/>
    <w:rsid w:val="00643315"/>
    <w:rsid w:val="006F6C79"/>
    <w:rsid w:val="009052F7"/>
    <w:rsid w:val="00AA1E78"/>
    <w:rsid w:val="00E952AF"/>
    <w:rsid w:val="00F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957F"/>
  <w15:chartTrackingRefBased/>
  <w15:docId w15:val="{F03854D0-06F0-4F0C-B9C5-FA15D4F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2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7</cp:revision>
  <cp:lastPrinted>2022-03-30T07:06:00Z</cp:lastPrinted>
  <dcterms:created xsi:type="dcterms:W3CDTF">2022-03-29T10:19:00Z</dcterms:created>
  <dcterms:modified xsi:type="dcterms:W3CDTF">2022-03-30T07:07:00Z</dcterms:modified>
</cp:coreProperties>
</file>