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FC" w:rsidRPr="00F633FC" w:rsidRDefault="00F633FC" w:rsidP="000F2C78">
      <w:pPr>
        <w:autoSpaceDE w:val="0"/>
        <w:autoSpaceDN w:val="0"/>
        <w:spacing w:after="0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F633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82165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F633FC" w:rsidRPr="00F633FC" w:rsidRDefault="00F633FC" w:rsidP="000F2C78">
      <w:pPr>
        <w:autoSpaceDE w:val="0"/>
        <w:autoSpaceDN w:val="0"/>
        <w:spacing w:after="0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F633FC">
        <w:rPr>
          <w:rFonts w:ascii="Times New Roman" w:hAnsi="Times New Roman" w:cs="Times New Roman"/>
          <w:sz w:val="20"/>
          <w:szCs w:val="20"/>
        </w:rPr>
        <w:t>do ogłoszenia stanowiącego</w:t>
      </w:r>
    </w:p>
    <w:p w:rsidR="00F633FC" w:rsidRPr="00F633FC" w:rsidRDefault="00F633FC" w:rsidP="000F2C78">
      <w:pPr>
        <w:autoSpaceDE w:val="0"/>
        <w:autoSpaceDN w:val="0"/>
        <w:spacing w:after="0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F633FC">
        <w:rPr>
          <w:rFonts w:ascii="Times New Roman" w:hAnsi="Times New Roman" w:cs="Times New Roman"/>
          <w:sz w:val="20"/>
          <w:szCs w:val="20"/>
        </w:rPr>
        <w:t>załącznik do zarządzenia</w:t>
      </w:r>
    </w:p>
    <w:p w:rsidR="00F633FC" w:rsidRPr="00F633FC" w:rsidRDefault="00F633FC" w:rsidP="000F2C78">
      <w:pPr>
        <w:autoSpaceDE w:val="0"/>
        <w:autoSpaceDN w:val="0"/>
        <w:spacing w:after="0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F633FC">
        <w:rPr>
          <w:rFonts w:ascii="Times New Roman" w:hAnsi="Times New Roman" w:cs="Times New Roman"/>
          <w:sz w:val="20"/>
          <w:szCs w:val="20"/>
        </w:rPr>
        <w:t>Prezydenta Miasta Krakowa</w:t>
      </w:r>
    </w:p>
    <w:p w:rsidR="00F633FC" w:rsidRPr="00F633FC" w:rsidRDefault="00F633FC" w:rsidP="000F2C78">
      <w:pPr>
        <w:autoSpaceDE w:val="0"/>
        <w:autoSpaceDN w:val="0"/>
        <w:spacing w:after="0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F633FC">
        <w:rPr>
          <w:rFonts w:ascii="Times New Roman" w:hAnsi="Times New Roman" w:cs="Times New Roman"/>
          <w:sz w:val="20"/>
          <w:szCs w:val="20"/>
        </w:rPr>
        <w:t>nr ……….… z dnia ……….</w:t>
      </w:r>
    </w:p>
    <w:p w:rsidR="00F633FC" w:rsidRPr="00F633FC" w:rsidRDefault="00F633FC" w:rsidP="00F633FC">
      <w:pPr>
        <w:tabs>
          <w:tab w:val="left" w:pos="284"/>
        </w:tabs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33FC" w:rsidRPr="00F633FC" w:rsidRDefault="00F633FC" w:rsidP="00F633FC">
      <w:pPr>
        <w:tabs>
          <w:tab w:val="left" w:pos="284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3FC" w:rsidRPr="00F633FC" w:rsidRDefault="00F633FC" w:rsidP="00F633FC">
      <w:pPr>
        <w:pStyle w:val="Akapitzlist"/>
        <w:autoSpaceDE w:val="0"/>
        <w:autoSpaceDN w:val="0"/>
        <w:spacing w:after="0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633FC">
        <w:rPr>
          <w:rFonts w:ascii="Times New Roman" w:hAnsi="Times New Roman" w:cs="Times New Roman"/>
          <w:b/>
          <w:sz w:val="24"/>
          <w:szCs w:val="24"/>
        </w:rPr>
        <w:t xml:space="preserve">OPIS PROGRAMU POLITYKI ZDROWOTNEJ </w:t>
      </w:r>
      <w:r w:rsidRPr="00F633F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PN. „PROGRAM PROFILAKTYKI ZAKAŻEŃ MENINGOKOKOWYCH DLA DZIECI W WIEKU OD 12 DO </w:t>
      </w:r>
      <w:r w:rsidR="00852017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F633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24 MIESIĘCY, ZAMIESZKAŁYCH W GMINIE MIEJSKIEJ KRAKÓW”, REALIZOWANEGO W RAMACH MIEJSKIEGO PROGRAMU OCHRONY ZDROWIA „ZDROWY KRAKÓW 2019-2021”</w:t>
      </w:r>
    </w:p>
    <w:p w:rsidR="00F633FC" w:rsidRDefault="00F633FC" w:rsidP="00F633F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44F5F" w:rsidRPr="00844F5F" w:rsidRDefault="00844F5F" w:rsidP="00844F5F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44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Niniejszy dokument stanowi program polityki zdrowotnej (stan z dnia wydania pozytywnej opinii Prezesa Agencji Oceny Technologii Medycznych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174/2013</w:t>
      </w:r>
      <w:r w:rsidRPr="00844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 czerwca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2013</w:t>
      </w:r>
      <w:r w:rsidRPr="00844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r.)</w:t>
      </w:r>
      <w:r w:rsidR="00852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F633FC" w:rsidRPr="00F633FC" w:rsidRDefault="00F633FC" w:rsidP="00F633F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633FC" w:rsidRPr="00F633FC" w:rsidRDefault="00F633FC" w:rsidP="00F63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Opis problemu zdrowotnego</w:t>
      </w:r>
    </w:p>
    <w:p w:rsidR="00F633FC" w:rsidRPr="00F633FC" w:rsidRDefault="00F633FC" w:rsidP="00F63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Problem zdrowotny</w:t>
      </w:r>
      <w:r w:rsidRPr="00F633FC">
        <w:rPr>
          <w:rFonts w:ascii="Times New Roman" w:hAnsi="Times New Roman" w:cs="Times New Roman"/>
          <w:sz w:val="24"/>
          <w:szCs w:val="24"/>
        </w:rPr>
        <w:t>: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(dwoinka zapalenia opon mózgowo--rdzeniowych, meningokok) należy do najczęstszych bakteryjnych czynników etiologicznych zapalenia opon mózgowo-rdzeniowych (ZOMR) i sepsy na świecie, obarczonych dużym ryzykiem powikłań i wysoką śmiertelnością. Przebieg zakażenia może być niezwykle dramatyczny i prowadzić w ciągu kilku godzin do zgonu chorego. Największe ryzyko zachorowań dotyczy małych dzieci, zwłaszcza poniżej pierwszego roku życia. Szczepy N.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można podzielić na podstawie właściwości antygenowych wielocukru otoczkowego na 12 grup serologicznych (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serogroup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), ale za ponad 95% zakażeń odpowiada 5 z nich, A, B, C i w mniejszym stopniu W-135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i Y. Podział na grupy serologiczne jest niezwykle istotny, ponieważ większość dostępnych szczepionek (mono, dwu lub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tetrawalentnych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) jest skuteczna tylko wobec określonych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serogroup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, A, C, W-135 i Y. W przeważającej liczbie przypadków meningokoki odpowiadają za zachorowania sporadyczne, ale drobnoustrój ten jest również zdolny do wywoływania ognisk epidemicznych i epidemii. Ten potencjalnie epidemiczny charakter zakażeń stanowi poważne zagrożenie dla zdrowia publicznego </w:t>
      </w:r>
      <w:r w:rsidR="00926A3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>i wymaga ciągłego monitorowania tych zakażeń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</w:p>
    <w:p w:rsidR="00F633FC" w:rsidRDefault="00852017" w:rsidP="00F633FC">
      <w:pPr>
        <w:spacing w:after="0"/>
        <w:ind w:left="709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Inwazyjna choroba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meningokokowa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) cechuje się gwałtownym przebiegiem, wymaga wczesnego rozpoznania i natychmiastowego leczenia. Może przebiegać jako zapalenie opon mózgowo-rdzeniowych i/lub posocznica (sepsa), stanowiąc zagrożenie dla życia człowieka. Zapalenie opon mózgowych otaczających mózgowie i rdzeń kręgowy może być wywołane przez wirusy oraz przez bakterie. Taki stan zapalny może rozwinąć się bardzo szybko. Bakteryjne, ropne zapalenie opon </w:t>
      </w:r>
      <w:r w:rsidR="000E5E9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mózgowo-rdzeniowych wywołują najczęściej dwoinki zapalenia opon mózgowych </w:t>
      </w:r>
      <w:r w:rsidR="00F633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- meningokoki. Zakażenie krwi występuje wówczas, gdy bakterie przedostaną się </w:t>
      </w:r>
      <w:r w:rsidR="001D428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do krwiobiegu. Dwoinki zapalenia opon mózgowo-rdzeniowych szybko rozprzestrzeniają się w całym organizmie, co prowadzi do zakażenia ogólnego. Choroba w tej groźnej dla życia postaci poprzez osłabienie serca i krwiobiegu oraz rozległe krwawienia pod skórą i do</w:t>
      </w:r>
      <w:r w:rsidR="00F633FC">
        <w:rPr>
          <w:rFonts w:ascii="Times New Roman" w:hAnsi="Times New Roman" w:cs="Times New Roman"/>
          <w:sz w:val="24"/>
          <w:szCs w:val="24"/>
          <w:lang w:eastAsia="pl-PL"/>
        </w:rPr>
        <w:t xml:space="preserve"> narządów wewnętrznych </w:t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w ciągu kilku godzin może doprowadzić do śmierci. Szczególnie niebezpieczna jest sepsa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meningokokowa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6A3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o przebiegu piorunującym, w której śmiertelność może sięgać 50%.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Neisseria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>meningitidis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 może także wywoływać: zapalenie gardła, płuc, ucha środkowego, osierdzia, wsierdzia, stawów i inne. Prawie 10 % chorych na zakażenie wywołane </w:t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przez meningokoki grupy C umiera. U dalszych 20 % chorych po przebyciu tej choroby pozostają trwałe uszkodzenia takie jak niedosłyszenie, uszkodzenia mózgu, ataki epileptyczne lub utrata kończyn.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"/>
      </w:r>
    </w:p>
    <w:p w:rsidR="00F633FC" w:rsidRPr="00F633FC" w:rsidRDefault="00F633FC" w:rsidP="00F633FC">
      <w:pPr>
        <w:spacing w:after="0"/>
        <w:ind w:left="709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33FC" w:rsidRPr="00F633FC" w:rsidRDefault="00F633FC" w:rsidP="00F63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Epidemiologia</w:t>
      </w:r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Epidemiologia zakażeń </w:t>
      </w:r>
      <w:proofErr w:type="spellStart"/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 jest zmienna w czasie, zależy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w znacznym stopniu od wieku chorego, ale także od regionu geograficznego, badanego okresu i polityki szczepień. Grupą najbardziej narażoną na te zakażenia są dzieci poniżej 5. r.ż., w tym zwłaszcza niemowlęta, oraz młodzież i młodzi dorośli.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W Polsce w roku 2009 ogólna zapadalność w grupie wiekowej poniżej 5. r.ż. (7,58/100 000) była nieco wyższa od średniej zapadalności na </w:t>
      </w:r>
      <w:proofErr w:type="spellStart"/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 w Europie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>w roku 2009, która wyniosła 7,37</w:t>
      </w:r>
      <w:r w:rsidR="00F63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Wg danych publikowanych przez Narodowy Instytut Zdrowia Publicznego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– Państwowy Zakład Higieny w Warszawie w roku 2011 odnotowano na terenie Polski 296 przypadków choroby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meningokokowej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, z których 294 (99,3%) zostało hospitalizowanych. Zapadalność na tę chorobę wynosiła w roku 2011 7,7/100 000.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 roku 2010 zarejestrowano w naszym kraju 229 przypadków tej choroby,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a zapadalność na nią kształtowała się na poziomie 6,0/100 000. 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Dane dotyczące tej choroby w roku 2009 wynoszą odpowiednio: ilość zarejestrowanych przypadków 296, zapadalność: 7,8/100 000. W roku 2008 wg tych samych źródeł liczba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na chorobę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meningokokową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wyniosła 373, przy zapadalności 9,8/100 000. </w:t>
      </w:r>
    </w:p>
    <w:p w:rsid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Liczbę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 latach 2009-2011 w woj. małopolskim wg danych NIZP-PZH w Warszawie obrazuje poniższa tabela: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520"/>
        <w:gridCol w:w="1537"/>
        <w:gridCol w:w="1946"/>
        <w:gridCol w:w="1729"/>
      </w:tblGrid>
      <w:tr w:rsidR="00F633FC" w:rsidRPr="00F633FC" w:rsidTr="001D428D">
        <w:tc>
          <w:tcPr>
            <w:tcW w:w="1030" w:type="dxa"/>
            <w:shd w:val="clear" w:color="auto" w:fill="C6D9F1"/>
            <w:vAlign w:val="center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520" w:type="dxa"/>
            <w:shd w:val="clear" w:color="auto" w:fill="C6D9F1"/>
            <w:vAlign w:val="center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zachorowań</w:t>
            </w:r>
            <w:proofErr w:type="spellEnd"/>
            <w:r w:rsidRPr="00F63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proofErr w:type="spellStart"/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IChM</w:t>
            </w:r>
            <w:proofErr w:type="spellEnd"/>
            <w:r w:rsidRPr="00F633FC">
              <w:rPr>
                <w:rFonts w:ascii="Times New Roman" w:hAnsi="Times New Roman" w:cs="Times New Roman"/>
                <w:sz w:val="24"/>
                <w:szCs w:val="24"/>
              </w:rPr>
              <w:t xml:space="preserve"> (ogółem)</w:t>
            </w:r>
          </w:p>
        </w:tc>
        <w:tc>
          <w:tcPr>
            <w:tcW w:w="1537" w:type="dxa"/>
            <w:shd w:val="clear" w:color="auto" w:fill="C6D9F1"/>
            <w:vAlign w:val="center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zapadalność</w:t>
            </w:r>
          </w:p>
        </w:tc>
        <w:tc>
          <w:tcPr>
            <w:tcW w:w="1946" w:type="dxa"/>
            <w:shd w:val="clear" w:color="auto" w:fill="C6D9F1"/>
            <w:vAlign w:val="center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Liczba zachorowań</w:t>
            </w:r>
            <w:r w:rsidRPr="00F633FC">
              <w:rPr>
                <w:rFonts w:ascii="Times New Roman" w:hAnsi="Times New Roman" w:cs="Times New Roman"/>
                <w:sz w:val="24"/>
                <w:szCs w:val="24"/>
              </w:rPr>
              <w:br/>
              <w:t>na zapalenie opon mózgowych lub mózgu</w:t>
            </w:r>
          </w:p>
        </w:tc>
        <w:tc>
          <w:tcPr>
            <w:tcW w:w="1729" w:type="dxa"/>
            <w:shd w:val="clear" w:color="auto" w:fill="C6D9F1"/>
            <w:vAlign w:val="center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Liczba zachorowań</w:t>
            </w:r>
            <w:r w:rsidRPr="00F633FC">
              <w:rPr>
                <w:rFonts w:ascii="Times New Roman" w:hAnsi="Times New Roman" w:cs="Times New Roman"/>
                <w:sz w:val="24"/>
                <w:szCs w:val="24"/>
              </w:rPr>
              <w:br/>
              <w:t>na posocznicę</w:t>
            </w:r>
          </w:p>
        </w:tc>
      </w:tr>
      <w:tr w:rsidR="00F633FC" w:rsidRPr="00F633FC" w:rsidTr="001D428D">
        <w:tc>
          <w:tcPr>
            <w:tcW w:w="1030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20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46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3FC" w:rsidRPr="00F633FC" w:rsidTr="001D428D">
        <w:tc>
          <w:tcPr>
            <w:tcW w:w="1030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20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946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33FC" w:rsidRPr="00F633FC" w:rsidTr="001D428D">
        <w:tc>
          <w:tcPr>
            <w:tcW w:w="1030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20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946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3FC" w:rsidRPr="00F633FC" w:rsidTr="001D428D">
        <w:tc>
          <w:tcPr>
            <w:tcW w:w="1030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średnio:</w:t>
            </w:r>
          </w:p>
        </w:tc>
        <w:tc>
          <w:tcPr>
            <w:tcW w:w="1520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1946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10,3333</w:t>
            </w:r>
          </w:p>
        </w:tc>
        <w:tc>
          <w:tcPr>
            <w:tcW w:w="1729" w:type="dxa"/>
            <w:shd w:val="clear" w:color="auto" w:fill="C6D9F1"/>
          </w:tcPr>
          <w:p w:rsidR="00F633FC" w:rsidRPr="00F633FC" w:rsidRDefault="00F633FC" w:rsidP="00F63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11,6666</w:t>
            </w:r>
          </w:p>
        </w:tc>
      </w:tr>
    </w:tbl>
    <w:p w:rsidR="00F633FC" w:rsidRPr="00F633FC" w:rsidRDefault="00F633FC" w:rsidP="00F633FC">
      <w:pPr>
        <w:autoSpaceDE w:val="0"/>
        <w:autoSpaceDN w:val="0"/>
        <w:adjustRightInd w:val="0"/>
        <w:spacing w:after="0"/>
        <w:ind w:left="141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Choroba ta w Polsce, podobnie jak w innych krajach, występuje najczęściej </w:t>
      </w:r>
      <w:r w:rsidR="00F633FC" w:rsidRPr="00F633FC">
        <w:rPr>
          <w:rFonts w:ascii="Times New Roman" w:hAnsi="Times New Roman" w:cs="Times New Roman"/>
          <w:sz w:val="24"/>
          <w:szCs w:val="24"/>
        </w:rPr>
        <w:br/>
        <w:t xml:space="preserve">w grupie wiekowej dzieci 0-4 lat, w roku 2011 odsetek zachorowań zarejestrowanych w tej grupie wyniósł 46,3%, w 2010 roku 55%, a w 2009 roku 49,3%. W roku 2011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 miastach o liczbie mieszkańców ≥ 100 000 odnotowano 89 przypadków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,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>w roku 2010 w tej samej grupie miast zarejestrowano 52 zachorowania, a w 2009 roku liczba ta wyniosła 70.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"/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4"/>
      </w:r>
    </w:p>
    <w:p w:rsidR="00F633FC" w:rsidRPr="00F633FC" w:rsidRDefault="00852017" w:rsidP="00F633FC">
      <w:pPr>
        <w:pStyle w:val="Tekstpodstawowy"/>
        <w:ind w:left="709"/>
        <w:jc w:val="both"/>
      </w:pPr>
      <w:r>
        <w:tab/>
      </w:r>
      <w:r w:rsidR="00F633FC" w:rsidRPr="00F633FC">
        <w:t xml:space="preserve">Wg danych europejskich 80% wszystkich przypadków zakażeń </w:t>
      </w:r>
      <w:proofErr w:type="spellStart"/>
      <w:r w:rsidR="00F633FC" w:rsidRPr="00F633FC">
        <w:t>meningokokowych</w:t>
      </w:r>
      <w:proofErr w:type="spellEnd"/>
      <w:r w:rsidR="00F633FC" w:rsidRPr="00F633FC">
        <w:t xml:space="preserve"> dotyczy dzieci i młodzieży, z przewagą zachorowań w grupie niemowląt i małych dzieci w wieku poniżej 5 lat, oraz młodzieży pomiędzy </w:t>
      </w:r>
      <w:r>
        <w:br/>
      </w:r>
      <w:smartTag w:uri="urn:schemas-microsoft-com:office:smarttags" w:element="metricconverter">
        <w:smartTagPr>
          <w:attr w:name="ProductID" w:val="15. a"/>
        </w:smartTagPr>
        <w:r w:rsidR="00F633FC" w:rsidRPr="00F633FC">
          <w:t>15. a</w:t>
        </w:r>
      </w:smartTag>
      <w:r w:rsidR="00F633FC" w:rsidRPr="00F633FC">
        <w:t xml:space="preserve"> 19. rokiem życia.</w:t>
      </w:r>
    </w:p>
    <w:p w:rsid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Wg danych NIZP-PZH w Warszawie liczba zgonów z powodu zakażeń wywołanych przez bakterię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meningiditis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 roku 2011 wyniosła 14, z czego 5 przypadków (35%) wystąpiło w grupie dzieci w wieku 0-4 lata.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5"/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Współczynnik śmiertelności w grupach wiekowych pacjentów w zależności </w:t>
      </w:r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od </w:t>
      </w:r>
      <w:proofErr w:type="spellStart"/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serogrupy</w:t>
      </w:r>
      <w:proofErr w:type="spellEnd"/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szczepów </w:t>
      </w:r>
      <w:proofErr w:type="spellStart"/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N.meningitidis</w:t>
      </w:r>
      <w:proofErr w:type="spellEnd"/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odpowiedzialnych za zakażenia </w:t>
      </w:r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w latach 2009–2011 </w:t>
      </w:r>
      <w:r w:rsidRPr="00F633F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9215" cy="269811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Populacja</w:t>
      </w:r>
      <w:r w:rsidRPr="00F633FC">
        <w:rPr>
          <w:rFonts w:ascii="Times New Roman" w:hAnsi="Times New Roman" w:cs="Times New Roman"/>
          <w:sz w:val="24"/>
          <w:szCs w:val="24"/>
        </w:rPr>
        <w:t xml:space="preserve"> podlegaj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633FC">
        <w:rPr>
          <w:rFonts w:ascii="Times New Roman" w:hAnsi="Times New Roman" w:cs="Times New Roman"/>
          <w:sz w:val="24"/>
          <w:szCs w:val="24"/>
        </w:rPr>
        <w:t>ca jednostce samorz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633FC">
        <w:rPr>
          <w:rFonts w:ascii="Times New Roman" w:hAnsi="Times New Roman" w:cs="Times New Roman"/>
          <w:sz w:val="24"/>
          <w:szCs w:val="24"/>
        </w:rPr>
        <w:t>du terytorialnego i populacja kwalifikuj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633FC">
        <w:rPr>
          <w:rFonts w:ascii="Times New Roman" w:hAnsi="Times New Roman" w:cs="Times New Roman"/>
          <w:sz w:val="24"/>
          <w:szCs w:val="24"/>
        </w:rPr>
        <w:t>ca si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633FC">
        <w:rPr>
          <w:rFonts w:ascii="Times New Roman" w:hAnsi="Times New Roman" w:cs="Times New Roman"/>
          <w:sz w:val="24"/>
          <w:szCs w:val="24"/>
        </w:rPr>
        <w:t>do wł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633FC">
        <w:rPr>
          <w:rFonts w:ascii="Times New Roman" w:hAnsi="Times New Roman" w:cs="Times New Roman"/>
          <w:sz w:val="24"/>
          <w:szCs w:val="24"/>
        </w:rPr>
        <w:t>czenia do programu:</w:t>
      </w:r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Według danych Głównego Urzędu Statystycznego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6"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 roku 2011 urodziło się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F633FC" w:rsidRPr="00F633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7445</w:t>
      </w:r>
      <w:r w:rsidR="00F633FC" w:rsidRPr="00F633FC">
        <w:rPr>
          <w:rFonts w:ascii="Times New Roman" w:hAnsi="Times New Roman" w:cs="Times New Roman"/>
          <w:sz w:val="24"/>
          <w:szCs w:val="24"/>
          <w:lang w:eastAsia="pl-PL"/>
        </w:rPr>
        <w:t xml:space="preserve"> dzieci. W latach poprzednich odpowiednio w Gminie Miejskiej Kraków urodziło się 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7 868 dzieci w 2010, 7 907 w 2009, 7 574 w 2008 i 6 780 w 2007 roku, co pozwala ustalić średnią ilość nowonarodzonych mieszkańców Gminy Miejskiej Kraków w wysokości </w:t>
      </w:r>
      <w:r w:rsidR="00F633FC" w:rsidRPr="00F633FC">
        <w:rPr>
          <w:rFonts w:ascii="Times New Roman" w:hAnsi="Times New Roman" w:cs="Times New Roman"/>
          <w:b/>
          <w:bCs/>
          <w:sz w:val="24"/>
          <w:szCs w:val="24"/>
        </w:rPr>
        <w:t>7 500 rocznie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. Liczba ta odpowiada zatem populacji dzieci w wieku 12-24 miesięcy kwalifikujących się do włączenia do Programu w roku 2013, a w kolejnych dwóch latach realizacji Programu należy założyć, że populacja </w:t>
      </w:r>
      <w:r w:rsidR="001D428D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>ta nie powinna ulegać zmianie.</w:t>
      </w:r>
    </w:p>
    <w:p w:rsidR="00F633FC" w:rsidRPr="00F633FC" w:rsidRDefault="00F633FC" w:rsidP="00F63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Obecne post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ę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powanie</w:t>
      </w:r>
      <w:r w:rsidRPr="00F633FC">
        <w:rPr>
          <w:rFonts w:ascii="Times New Roman" w:hAnsi="Times New Roman" w:cs="Times New Roman"/>
          <w:sz w:val="24"/>
          <w:szCs w:val="24"/>
        </w:rPr>
        <w:t xml:space="preserve"> w omawianym problemie zdrowotnym ze szczególnym uwzgl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633FC">
        <w:rPr>
          <w:rFonts w:ascii="Times New Roman" w:hAnsi="Times New Roman" w:cs="Times New Roman"/>
          <w:sz w:val="24"/>
          <w:szCs w:val="24"/>
        </w:rPr>
        <w:t xml:space="preserve">dnieniem gwarantowanych 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633FC">
        <w:rPr>
          <w:rFonts w:ascii="Times New Roman" w:hAnsi="Times New Roman" w:cs="Times New Roman"/>
          <w:sz w:val="24"/>
          <w:szCs w:val="24"/>
        </w:rPr>
        <w:t>wiadcze</w:t>
      </w:r>
      <w:r w:rsidRPr="00F633FC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633FC">
        <w:rPr>
          <w:rFonts w:ascii="Times New Roman" w:hAnsi="Times New Roman" w:cs="Times New Roman"/>
          <w:sz w:val="24"/>
          <w:szCs w:val="24"/>
        </w:rPr>
        <w:t xml:space="preserve">opieki zdrowotnej, finansowanych </w:t>
      </w:r>
      <w:r w:rsidR="001D428D"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 xml:space="preserve">ze </w:t>
      </w:r>
      <w:r w:rsidRPr="00F633FC">
        <w:rPr>
          <w:rFonts w:ascii="Times New Roman" w:eastAsia="TimesNewRoman" w:hAnsi="Times New Roman" w:cs="Times New Roman"/>
          <w:i/>
          <w:iCs/>
          <w:sz w:val="24"/>
          <w:szCs w:val="24"/>
        </w:rPr>
        <w:t>ś</w:t>
      </w:r>
      <w:r w:rsidRPr="00F633FC">
        <w:rPr>
          <w:rFonts w:ascii="Times New Roman" w:hAnsi="Times New Roman" w:cs="Times New Roman"/>
          <w:i/>
          <w:iCs/>
          <w:sz w:val="24"/>
          <w:szCs w:val="24"/>
        </w:rPr>
        <w:t>rodków publicznych: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 aktualnym Programie Szczepień Ochronnych (PSO) na rok 2013 szczepienia przeciwko zakażeniom wywoływanym przez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meningiditis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są jedynie zalecane, stąd wdrożenie Programu nie będzie kolidowało w jakimkolwiek zakresie z gwarantowanymi świadczeniami opieki zdrowotnej, finansowanymi ze środków publicznych.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Zgodnie z ustaleniami PSO 2013 do stosowania na obszarze naszego kraju są dopuszczone:</w:t>
      </w:r>
    </w:p>
    <w:p w:rsidR="00F633FC" w:rsidRPr="00F633FC" w:rsidRDefault="00F633FC" w:rsidP="00852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Szczepionka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skoniugowana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od 2 miesiąca</w:t>
      </w:r>
      <w:r w:rsidR="00852017">
        <w:rPr>
          <w:rFonts w:ascii="Times New Roman" w:hAnsi="Times New Roman" w:cs="Times New Roman"/>
          <w:sz w:val="24"/>
          <w:szCs w:val="24"/>
        </w:rPr>
        <w:t xml:space="preserve"> życia - </w:t>
      </w:r>
      <w:proofErr w:type="spellStart"/>
      <w:r w:rsidR="00852017">
        <w:rPr>
          <w:rFonts w:ascii="Times New Roman" w:hAnsi="Times New Roman" w:cs="Times New Roman"/>
          <w:sz w:val="24"/>
          <w:szCs w:val="24"/>
        </w:rPr>
        <w:t>monowalentna</w:t>
      </w:r>
      <w:proofErr w:type="spellEnd"/>
      <w:r w:rsidR="00852017">
        <w:rPr>
          <w:rFonts w:ascii="Times New Roman" w:hAnsi="Times New Roman" w:cs="Times New Roman"/>
          <w:sz w:val="24"/>
          <w:szCs w:val="24"/>
        </w:rPr>
        <w:t xml:space="preserve"> przeciwko </w:t>
      </w:r>
      <w:proofErr w:type="spellStart"/>
      <w:r w:rsidR="00852017">
        <w:rPr>
          <w:rFonts w:ascii="Times New Roman" w:hAnsi="Times New Roman" w:cs="Times New Roman"/>
          <w:sz w:val="24"/>
          <w:szCs w:val="24"/>
        </w:rPr>
        <w:t>serogrupie</w:t>
      </w:r>
      <w:proofErr w:type="spellEnd"/>
      <w:r w:rsidR="00852017">
        <w:rPr>
          <w:rFonts w:ascii="Times New Roman" w:hAnsi="Times New Roman" w:cs="Times New Roman"/>
          <w:sz w:val="24"/>
          <w:szCs w:val="24"/>
        </w:rPr>
        <w:t xml:space="preserve"> C;</w:t>
      </w:r>
    </w:p>
    <w:p w:rsidR="00F633FC" w:rsidRPr="00F633FC" w:rsidRDefault="00F633FC" w:rsidP="00F633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Szczepionka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skoniugowana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czterowalentna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przeciwko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serogrupom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A,C,W-135,) u dzi</w:t>
      </w:r>
      <w:r w:rsidR="00852017">
        <w:rPr>
          <w:rFonts w:ascii="Times New Roman" w:hAnsi="Times New Roman" w:cs="Times New Roman"/>
          <w:sz w:val="24"/>
          <w:szCs w:val="24"/>
        </w:rPr>
        <w:t>eci od 12 lub 24 miesiąca życia;</w:t>
      </w:r>
    </w:p>
    <w:p w:rsidR="00F633FC" w:rsidRPr="00F633FC" w:rsidRDefault="00F633FC" w:rsidP="00F633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Szczepionka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skoniugowana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monowalentna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czterowalentna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zalecana dzieciom </w:t>
      </w:r>
      <w:r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 xml:space="preserve">w wieku od 2 miesiąca życia z grup ryzyka zaburzeń odporności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>w części I. A oraz szczególnie narażonym na zachorowanie nastol</w:t>
      </w:r>
      <w:r>
        <w:rPr>
          <w:rFonts w:ascii="Times New Roman" w:hAnsi="Times New Roman" w:cs="Times New Roman"/>
          <w:sz w:val="24"/>
          <w:szCs w:val="24"/>
        </w:rPr>
        <w:t xml:space="preserve">atkom i osobom powyżej 65 roku </w:t>
      </w:r>
      <w:r w:rsidR="00852017">
        <w:rPr>
          <w:rFonts w:ascii="Times New Roman" w:hAnsi="Times New Roman" w:cs="Times New Roman"/>
          <w:sz w:val="24"/>
          <w:szCs w:val="24"/>
        </w:rPr>
        <w:t>życia;</w:t>
      </w:r>
    </w:p>
    <w:p w:rsidR="00F633FC" w:rsidRDefault="00F633FC" w:rsidP="00F633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Szczepionka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nieskoniugowana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(polisacharydowa), przeciwko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serogrupom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r w:rsidR="000E5E90"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F633FC">
        <w:rPr>
          <w:rFonts w:ascii="Times New Roman" w:hAnsi="Times New Roman" w:cs="Times New Roman"/>
          <w:sz w:val="24"/>
          <w:szCs w:val="24"/>
        </w:rPr>
        <w:t>dzieciom powyżej 2 lat i dorosłym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3FC" w:rsidRPr="00F633FC" w:rsidRDefault="00F633FC" w:rsidP="00F633FC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potrzeby wdro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enia programu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Jak wspomniano wyżej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występuje najczęściej w grupie wiekowej dzieci 0-4 lat, w roku 2011 odsetek zachorowań zarejestrowanych w tej grupie wyniósł 46,3%, w 2010 roku 55%, a w 2009 roku 49,3%. W roku 2011 w miastach o liczbie mieszkańców ≥ 100 000 odnotowano 89 przypadków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>, w roku 2010 w tej samej grupie miast zarejestrowano 52 zachorowania, a w 2009 roku liczba ta wyniosła 70.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7"/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8"/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Wg danych NIZP-PZH w Warszawie liczba zgonów z powodu zakażeń wywołanych przez bakterię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>meningiditis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 roku 2011 wyniosła 14, z czego 5 przypadków (35%) wystąpiło w grupie dzieci w wieku 0-4 lata.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9"/>
      </w:r>
    </w:p>
    <w:p w:rsidR="00F633FC" w:rsidRDefault="00852017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Me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ningokoki są w Polsce przyczyną wielu zakażeń obarczonych wysokim wskaźnikiem śmiertelności, zwłaszcza u dzieci poniżej 5. r.ż.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Sytuacjadotycząca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zakażeń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może zmieniać się bardzo dynamicznie. Dlatego konieczne jest ciągłe monitorowanie tych zakażeń, aby móc właściwie reagować na zachodzące zmiany i pojawiające się ogniska epidemiczne, tym bardziej że dostępne szczepionki są skuteczne w profilaktyce zakażeń konkretnymi grupami serologicznymi. Sukces wprowadzenia szczepionek koniugowanych przeciw meningokokom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serogrupy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C i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czterowalentnych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przeciw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serogrupom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A, C, W-135, </w:t>
      </w:r>
      <w:r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Y pozwala mieć nadzieję, że wprowadzenie szczepionki białkowej, skutecznej również w stosunku do meningokoków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serogrupy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B, pozwoli znacznie ograniczyć liczbę zakażeń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>. Polskie doświadczenia w opanowaniu ognisk epidemicznych, które wystąpiły na terenie woj. opolskiego w roku 2007, wskazują na wysoką skuteczność szczepień interwencyjnych.</w:t>
      </w:r>
      <w:r w:rsidR="00F633FC" w:rsidRPr="00F633F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709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Cele programu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Cel główny</w:t>
      </w:r>
    </w:p>
    <w:p w:rsidR="00F633FC" w:rsidRPr="00F633FC" w:rsidRDefault="00F633FC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Poprawa stanu zdrowia dzieci zamieszkałych na terenie Miasta Krakowa poprzez przeprowadzenie skutecznych szczepień przeciwko meningokokom w grupie najmłodszych mieszkańców miasta.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Cele szczegółowe</w:t>
      </w:r>
    </w:p>
    <w:p w:rsidR="00F633FC" w:rsidRPr="00F633FC" w:rsidRDefault="00F633FC" w:rsidP="00F633FC">
      <w:pPr>
        <w:pStyle w:val="Akapitzlist1"/>
        <w:numPr>
          <w:ilvl w:val="0"/>
          <w:numId w:val="3"/>
        </w:numPr>
        <w:spacing w:before="0"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FC">
        <w:rPr>
          <w:rFonts w:ascii="Times New Roman" w:hAnsi="Times New Roman" w:cs="Times New Roman"/>
          <w:sz w:val="24"/>
          <w:szCs w:val="24"/>
        </w:rPr>
        <w:t>uzyskanie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możliwie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najwyższej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frekwencji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3FC" w:rsidRPr="00F633FC" w:rsidRDefault="00F633FC" w:rsidP="00F633FC">
      <w:pPr>
        <w:pStyle w:val="Akapitzlist1"/>
        <w:numPr>
          <w:ilvl w:val="0"/>
          <w:numId w:val="3"/>
        </w:numPr>
        <w:spacing w:before="0"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redukcja nosicielstwa i zmniejszenie </w:t>
      </w:r>
      <w:proofErr w:type="spellStart"/>
      <w:r w:rsidRPr="00F633FC">
        <w:rPr>
          <w:rFonts w:ascii="Times New Roman" w:hAnsi="Times New Roman" w:cs="Times New Roman"/>
          <w:sz w:val="24"/>
          <w:szCs w:val="24"/>
          <w:lang w:val="pl-PL"/>
        </w:rPr>
        <w:t>zachorowań</w:t>
      </w:r>
      <w:proofErr w:type="spellEnd"/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 na infekcje </w:t>
      </w:r>
      <w:proofErr w:type="spellStart"/>
      <w:r w:rsidRPr="00F633FC">
        <w:rPr>
          <w:rFonts w:ascii="Times New Roman" w:hAnsi="Times New Roman" w:cs="Times New Roman"/>
          <w:sz w:val="24"/>
          <w:szCs w:val="24"/>
          <w:lang w:val="pl-PL"/>
        </w:rPr>
        <w:t>meningokokokowe</w:t>
      </w:r>
      <w:proofErr w:type="spellEnd"/>
    </w:p>
    <w:p w:rsidR="00F633FC" w:rsidRPr="00F633FC" w:rsidRDefault="00F633FC" w:rsidP="00F63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zmniejszenie ilości hospitalizacji dzieci młodszych z powodu chorób wywołanych przez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meningokokoki</w:t>
      </w:r>
      <w:proofErr w:type="spellEnd"/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Oczekiwane efekty:</w:t>
      </w:r>
    </w:p>
    <w:p w:rsidR="00F633FC" w:rsidRDefault="00852017" w:rsidP="00F633FC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Zgodnie ze stanowiskiem grupy ekspertów, którzy opracowali aktualne zalecenia dotyczące profilaktyki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meningokokowej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w Polsce priorytetem powinno być wprowadzenie do Programu Szczepień Ochronnych (PSO) szczepienia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skoniugowaną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szczepionką przeciwko meningokokom C lub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MenACW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--135Y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(w zależności od rejestracji) u dzieci i młodzieży, najlepiej w połączeniu </w:t>
      </w:r>
      <w:r w:rsidR="001D428D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ze szczepieniami wychwytującymi dla osób dotychczas niezaszczepionych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w starszych grupach wiekowych (do 25. roku życia). </w:t>
      </w:r>
      <w:r w:rsidR="00F633FC" w:rsidRPr="00F633FC">
        <w:rPr>
          <w:rFonts w:ascii="Times New Roman" w:hAnsi="Times New Roman" w:cs="Times New Roman"/>
          <w:sz w:val="24"/>
          <w:szCs w:val="24"/>
          <w:u w:val="single"/>
        </w:rPr>
        <w:t>Do czasu wprowadzenia szczepień obowiązkowych powinny być wspierane wszelkie akcje prowadzone przez samorządy lokalne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 i organizacje społeczne (fundacje i stowarzyszenia) </w:t>
      </w:r>
      <w:r w:rsidR="00F633F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z użyciem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skoniugowanych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szczepionek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zabezpieczające przed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zachorowaniami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>. Szczepienia przeciwko meningokokom powinno się stosować u  dzieci, młodzieży i młodych dorosłych (do 25. roku życia).</w:t>
      </w:r>
      <w:r w:rsidR="00F633FC" w:rsidRPr="00F633F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0"/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Mierniki efektywno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ci odpowiadaj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ce celom programu</w:t>
      </w:r>
    </w:p>
    <w:p w:rsidR="00F633FC" w:rsidRPr="00F633FC" w:rsidRDefault="00F633FC" w:rsidP="00F633FC">
      <w:pPr>
        <w:pStyle w:val="Akapitzlist1"/>
        <w:numPr>
          <w:ilvl w:val="0"/>
          <w:numId w:val="4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Liczba dzieci uczestniczących w programie.</w:t>
      </w:r>
    </w:p>
    <w:p w:rsidR="00F633FC" w:rsidRPr="00F633FC" w:rsidRDefault="00F633FC" w:rsidP="00F633FC">
      <w:pPr>
        <w:pStyle w:val="Akapitzlist1"/>
        <w:numPr>
          <w:ilvl w:val="0"/>
          <w:numId w:val="4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lastRenderedPageBreak/>
        <w:t>Odsetek dzieci uczestniczących w programie.</w:t>
      </w:r>
    </w:p>
    <w:p w:rsidR="00F633FC" w:rsidRPr="00F633FC" w:rsidRDefault="00F633FC" w:rsidP="00F633FC">
      <w:pPr>
        <w:pStyle w:val="Akapitzlist1"/>
        <w:numPr>
          <w:ilvl w:val="0"/>
          <w:numId w:val="4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Liczba dzieci zaszczepionych w programie. </w:t>
      </w:r>
    </w:p>
    <w:p w:rsidR="00F633FC" w:rsidRPr="00F633FC" w:rsidRDefault="00F633FC" w:rsidP="00F633FC">
      <w:pPr>
        <w:pStyle w:val="Akapitzlist1"/>
        <w:numPr>
          <w:ilvl w:val="0"/>
          <w:numId w:val="4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Raporty opracowane przez realizatorów programu wg przygotowanego schematu.</w:t>
      </w:r>
    </w:p>
    <w:p w:rsidR="00F633FC" w:rsidRPr="00F633FC" w:rsidRDefault="00F633FC" w:rsidP="00F633FC">
      <w:pPr>
        <w:spacing w:after="0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Stały monitoring wskaźników zdrowotnych:</w:t>
      </w:r>
    </w:p>
    <w:p w:rsidR="00F633FC" w:rsidRPr="00F633FC" w:rsidRDefault="00F633FC" w:rsidP="00F633FC">
      <w:pPr>
        <w:pStyle w:val="Akapitzlist1"/>
        <w:numPr>
          <w:ilvl w:val="0"/>
          <w:numId w:val="5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współczynników zapadalności i umieralności na choroby </w:t>
      </w:r>
      <w:proofErr w:type="spellStart"/>
      <w:r w:rsidRPr="00F633FC">
        <w:rPr>
          <w:rFonts w:ascii="Times New Roman" w:hAnsi="Times New Roman" w:cs="Times New Roman"/>
          <w:sz w:val="24"/>
          <w:szCs w:val="24"/>
          <w:lang w:val="pl-PL"/>
        </w:rPr>
        <w:t>meningokokowe</w:t>
      </w:r>
      <w:proofErr w:type="spellEnd"/>
      <w:r w:rsidRPr="00F633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633FC" w:rsidRPr="00F633FC" w:rsidRDefault="00F633FC" w:rsidP="00F633FC">
      <w:pPr>
        <w:pStyle w:val="Akapitzlist1"/>
        <w:numPr>
          <w:ilvl w:val="0"/>
          <w:numId w:val="5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współczynników zapadalności na choroby </w:t>
      </w:r>
      <w:proofErr w:type="spellStart"/>
      <w:r w:rsidRPr="00F633FC">
        <w:rPr>
          <w:rFonts w:ascii="Times New Roman" w:hAnsi="Times New Roman" w:cs="Times New Roman"/>
          <w:sz w:val="24"/>
          <w:szCs w:val="24"/>
          <w:lang w:val="pl-PL"/>
        </w:rPr>
        <w:t>meninigokokowe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633FC" w:rsidRPr="00F633FC" w:rsidRDefault="00F633FC" w:rsidP="00F633FC">
      <w:pPr>
        <w:pStyle w:val="Akapitzlist1"/>
        <w:numPr>
          <w:ilvl w:val="0"/>
          <w:numId w:val="5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współczynników chorobowości ogólnej</w:t>
      </w:r>
      <w:r w:rsidRPr="00F633FC">
        <w:rPr>
          <w:rFonts w:ascii="Times New Roman" w:hAnsi="Times New Roman" w:cs="Times New Roman"/>
          <w:sz w:val="24"/>
          <w:szCs w:val="24"/>
        </w:rPr>
        <w:t>.</w:t>
      </w:r>
    </w:p>
    <w:p w:rsidR="00F633FC" w:rsidRDefault="00F633FC" w:rsidP="00F633FC">
      <w:pPr>
        <w:pStyle w:val="Akapitzlist1"/>
        <w:numPr>
          <w:ilvl w:val="0"/>
          <w:numId w:val="5"/>
        </w:numPr>
        <w:spacing w:before="0"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FC">
        <w:rPr>
          <w:rFonts w:ascii="Times New Roman" w:hAnsi="Times New Roman" w:cs="Times New Roman"/>
          <w:sz w:val="24"/>
          <w:szCs w:val="24"/>
        </w:rPr>
        <w:t>liczby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kuracji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antybiotykowych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>.</w:t>
      </w:r>
    </w:p>
    <w:p w:rsidR="00926A3C" w:rsidRPr="00F633FC" w:rsidRDefault="00926A3C" w:rsidP="00926A3C">
      <w:pPr>
        <w:pStyle w:val="Akapitzlist1"/>
        <w:spacing w:before="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Adresaci programu </w:t>
      </w:r>
      <w:r w:rsidRPr="00F633FC">
        <w:rPr>
          <w:rFonts w:ascii="Times New Roman" w:hAnsi="Times New Roman" w:cs="Times New Roman"/>
          <w:sz w:val="24"/>
          <w:szCs w:val="24"/>
        </w:rPr>
        <w:t>(populacja Programu)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Oszacowanie populacji, której wł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czenie do programu jest mo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liwe:</w:t>
      </w:r>
    </w:p>
    <w:p w:rsidR="00F633FC" w:rsidRPr="00F633FC" w:rsidRDefault="00F633FC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Średnia roczna ilość nowonarodzonych mieszkańców Gminy Miejskiej Kraków, wyliczona z danych ostatnich 5 lat, pozwala ustalić grupę beneficjentów Programu na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7 500 rocznie</w:t>
      </w:r>
      <w:r w:rsidRPr="00F633FC">
        <w:rPr>
          <w:rFonts w:ascii="Times New Roman" w:hAnsi="Times New Roman" w:cs="Times New Roman"/>
          <w:sz w:val="24"/>
          <w:szCs w:val="24"/>
        </w:rPr>
        <w:t>. Liczba ta odpowiada zatem populacji dzieci w wieku 12-24 miesięcy kwalifikujących się do włączenia do Programu.</w:t>
      </w:r>
    </w:p>
    <w:p w:rsidR="00F633FC" w:rsidRPr="00F633FC" w:rsidRDefault="00F633FC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993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Tryb zapraszania do Programu</w:t>
      </w:r>
    </w:p>
    <w:p w:rsidR="00F633FC" w:rsidRPr="00F633FC" w:rsidRDefault="00852017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W celu zapewnienia wysokiej frekwencji (70-90%) w programie, konieczny jest dobry dostęp do pełnej informacji o jego realizacji, uzyskiwanej wieloma kanałami.</w:t>
      </w:r>
    </w:p>
    <w:p w:rsidR="00F633FC" w:rsidRPr="00F633FC" w:rsidRDefault="00F633FC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Edukacja poprzez działania promocyjno- informacyjne:</w:t>
      </w:r>
    </w:p>
    <w:p w:rsidR="00F633FC" w:rsidRPr="00F633FC" w:rsidRDefault="00F633FC" w:rsidP="00F633FC">
      <w:pPr>
        <w:pStyle w:val="Akapitzlist1"/>
        <w:numPr>
          <w:ilvl w:val="0"/>
          <w:numId w:val="11"/>
        </w:numPr>
        <w:spacing w:before="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Plakaty w jednostkach ZOZ, żłobkach, tablice ogłoszeniowe,</w:t>
      </w:r>
    </w:p>
    <w:p w:rsidR="00F633FC" w:rsidRPr="00F633FC" w:rsidRDefault="00F633FC" w:rsidP="00F633FC">
      <w:pPr>
        <w:pStyle w:val="Akapitzlist1"/>
        <w:numPr>
          <w:ilvl w:val="0"/>
          <w:numId w:val="11"/>
        </w:numPr>
        <w:spacing w:before="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Informacja o programie na stronie internetowej miasta.</w:t>
      </w:r>
    </w:p>
    <w:p w:rsidR="00F633FC" w:rsidRPr="00F633FC" w:rsidRDefault="00F633FC" w:rsidP="00F633FC">
      <w:pPr>
        <w:pStyle w:val="Akapitzlist1"/>
        <w:numPr>
          <w:ilvl w:val="0"/>
          <w:numId w:val="11"/>
        </w:numPr>
        <w:spacing w:before="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Audycje telewizyjne i radiowe poświęcone szczepieniom w mediach lokalnych.</w:t>
      </w:r>
    </w:p>
    <w:p w:rsidR="00F633FC" w:rsidRPr="00F633FC" w:rsidRDefault="00F633FC" w:rsidP="00F633F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Rekrutacja uczestników programu:</w:t>
      </w:r>
    </w:p>
    <w:p w:rsidR="00F633FC" w:rsidRPr="00F633FC" w:rsidRDefault="00F633FC" w:rsidP="00F633FC">
      <w:pPr>
        <w:pStyle w:val="Akapitzlist1"/>
        <w:numPr>
          <w:ilvl w:val="0"/>
          <w:numId w:val="12"/>
        </w:numPr>
        <w:spacing w:before="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 xml:space="preserve">listy imienne do rodziców dziecka zapraszające na darmowe szczepienie przeciwko </w:t>
      </w:r>
      <w:r>
        <w:rPr>
          <w:rFonts w:ascii="Times New Roman" w:hAnsi="Times New Roman" w:cs="Times New Roman"/>
          <w:sz w:val="24"/>
          <w:szCs w:val="24"/>
          <w:lang w:val="pl-PL"/>
        </w:rPr>
        <w:t>meningokokom.</w:t>
      </w:r>
    </w:p>
    <w:p w:rsidR="00F633FC" w:rsidRDefault="00F633FC" w:rsidP="00F633FC">
      <w:pPr>
        <w:pStyle w:val="Akapitzlist1"/>
        <w:numPr>
          <w:ilvl w:val="0"/>
          <w:numId w:val="12"/>
        </w:numPr>
        <w:spacing w:before="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FC">
        <w:rPr>
          <w:rFonts w:ascii="Times New Roman" w:hAnsi="Times New Roman" w:cs="Times New Roman"/>
          <w:sz w:val="24"/>
          <w:szCs w:val="24"/>
          <w:lang w:val="pl-PL"/>
        </w:rPr>
        <w:t>uzyskanie pisemnej zgody rodziców na szczepienie dziecka.</w:t>
      </w:r>
    </w:p>
    <w:p w:rsidR="00F633FC" w:rsidRPr="00F633FC" w:rsidRDefault="00F633FC" w:rsidP="00926A3C">
      <w:pPr>
        <w:pStyle w:val="Akapitzlist1"/>
        <w:spacing w:before="0"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709" w:hanging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Organizacja programu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Cz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ęś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ci składowe, etapy i działania organizacyjne</w:t>
      </w:r>
    </w:p>
    <w:p w:rsidR="00F633FC" w:rsidRPr="00F633FC" w:rsidRDefault="00F633FC" w:rsidP="00F633F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Opracowanie programu. </w:t>
      </w:r>
    </w:p>
    <w:p w:rsidR="00F633FC" w:rsidRPr="00F633FC" w:rsidRDefault="00F633FC" w:rsidP="00F633FC">
      <w:pPr>
        <w:numPr>
          <w:ilvl w:val="1"/>
          <w:numId w:val="6"/>
        </w:numPr>
        <w:tabs>
          <w:tab w:val="clear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Wybór podmiotów realizujących Program w drodze postępowania konkursowego prowadzonego przez Komisję powołaną przez Prezydenta Miasta Krakowa w oparciu o przepisy ustawy o działalności leczniczej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3FC">
        <w:rPr>
          <w:rFonts w:ascii="Times New Roman" w:hAnsi="Times New Roman" w:cs="Times New Roman"/>
          <w:color w:val="000000"/>
          <w:sz w:val="24"/>
          <w:szCs w:val="24"/>
        </w:rPr>
        <w:t>i świadczeniach zdrowotnych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3FC" w:rsidRPr="00F633FC" w:rsidRDefault="00F633FC" w:rsidP="00F633FC">
      <w:pPr>
        <w:numPr>
          <w:ilvl w:val="1"/>
          <w:numId w:val="6"/>
        </w:numPr>
        <w:tabs>
          <w:tab w:val="clear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Realizacja programu: </w:t>
      </w:r>
    </w:p>
    <w:p w:rsidR="00F633FC" w:rsidRPr="00F633FC" w:rsidRDefault="00F633FC" w:rsidP="00F633FC">
      <w:pPr>
        <w:numPr>
          <w:ilvl w:val="6"/>
          <w:numId w:val="8"/>
        </w:numPr>
        <w:tabs>
          <w:tab w:val="clear" w:pos="2520"/>
        </w:tabs>
        <w:spacing w:after="0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dotarcie z informacją o programie do rodziców dzieci, spełniających kryteria włączenia (działania edukacyjne) </w:t>
      </w:r>
    </w:p>
    <w:p w:rsidR="00F633FC" w:rsidRPr="00F633FC" w:rsidRDefault="00F633FC" w:rsidP="00F633FC">
      <w:pPr>
        <w:numPr>
          <w:ilvl w:val="6"/>
          <w:numId w:val="8"/>
        </w:numPr>
        <w:tabs>
          <w:tab w:val="clear" w:pos="2520"/>
        </w:tabs>
        <w:spacing w:after="0"/>
        <w:ind w:left="1985" w:hanging="567"/>
        <w:jc w:val="left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rekrutacja dzieci do programu.</w:t>
      </w:r>
    </w:p>
    <w:p w:rsidR="00F633FC" w:rsidRPr="00F633FC" w:rsidRDefault="00F633FC" w:rsidP="00F633FC">
      <w:pPr>
        <w:numPr>
          <w:ilvl w:val="0"/>
          <w:numId w:val="7"/>
        </w:numPr>
        <w:spacing w:after="0"/>
        <w:ind w:left="2552" w:hanging="567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color w:val="000000"/>
          <w:sz w:val="24"/>
          <w:szCs w:val="24"/>
        </w:rPr>
        <w:t>Rodzice beneficjentów programu zostaną poinformowani o zakwalifikowaniu dziecka do określonego rodzaju szczepień. Dopiero po uzyskaniu takiej informacji rodzice będą mogli samodzielnie rejestrować dzieci w danej placówce w celu realizacji świadczenia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33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33FC" w:rsidRPr="00F633FC" w:rsidRDefault="00F633FC" w:rsidP="00F633FC">
      <w:pPr>
        <w:numPr>
          <w:ilvl w:val="0"/>
          <w:numId w:val="7"/>
        </w:numPr>
        <w:spacing w:after="0"/>
        <w:ind w:left="2552" w:hanging="567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color w:val="000000"/>
          <w:sz w:val="24"/>
          <w:szCs w:val="24"/>
        </w:rPr>
        <w:t>Lekarz sprawujący opiekę lekarską nad dziećmi w danej przychodni lekarskiej będzie decydował o rejestracji osób objętych programem profilaktycznym do szczepienia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33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33FC" w:rsidRPr="00F633FC" w:rsidRDefault="00F633FC" w:rsidP="00F633FC">
      <w:pPr>
        <w:pStyle w:val="Akapitzlist"/>
        <w:numPr>
          <w:ilvl w:val="0"/>
          <w:numId w:val="9"/>
        </w:numPr>
        <w:spacing w:after="0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lastRenderedPageBreak/>
        <w:t xml:space="preserve">Badanie dzieci (kwalifikacja do szczepienia) </w:t>
      </w:r>
    </w:p>
    <w:p w:rsidR="00F633FC" w:rsidRPr="00F633FC" w:rsidRDefault="00F633FC" w:rsidP="00F633FC">
      <w:pPr>
        <w:pStyle w:val="Akapitzlist"/>
        <w:numPr>
          <w:ilvl w:val="0"/>
          <w:numId w:val="9"/>
        </w:numPr>
        <w:spacing w:after="0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Szczepienia wg przyjętego schematu, zgodnego ze wskazaniami producenta szczepionki.</w:t>
      </w:r>
    </w:p>
    <w:p w:rsidR="00F633FC" w:rsidRPr="00F633FC" w:rsidRDefault="00F633FC" w:rsidP="00F633FC">
      <w:pPr>
        <w:pStyle w:val="Akapitzlist"/>
        <w:numPr>
          <w:ilvl w:val="0"/>
          <w:numId w:val="9"/>
        </w:numPr>
        <w:spacing w:after="0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color w:val="000000"/>
          <w:sz w:val="24"/>
          <w:szCs w:val="24"/>
        </w:rPr>
        <w:t>szczepienia dzieci prowadzone będą pod nadzorem lekarzy i przy udziale rodziców, którzy wyrażą chęć zaszczepienia swojego dziecka znajdującego się wśród osób objętych programem</w:t>
      </w:r>
    </w:p>
    <w:p w:rsidR="00F633FC" w:rsidRPr="00F633FC" w:rsidRDefault="00F633FC" w:rsidP="00F633FC">
      <w:pPr>
        <w:pStyle w:val="Akapitzlist"/>
        <w:numPr>
          <w:ilvl w:val="0"/>
          <w:numId w:val="9"/>
        </w:numPr>
        <w:spacing w:after="0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 xml:space="preserve">szczepienie  wykonują osoby, zgodnie z paragrafem 6 Rozporządzenia Ministra Zdrowia z dnia 18 sierpnia 2011 r. (Dz.U. Nr 182, poz. 1086) </w:t>
      </w:r>
      <w:r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 xml:space="preserve">w sprawie obowiązkowych szczepień ochronnych </w:t>
      </w:r>
    </w:p>
    <w:p w:rsidR="00F633FC" w:rsidRPr="00F633FC" w:rsidRDefault="00F633FC" w:rsidP="00F633FC">
      <w:pPr>
        <w:pStyle w:val="Akapitzlist"/>
        <w:numPr>
          <w:ilvl w:val="0"/>
          <w:numId w:val="9"/>
        </w:numPr>
        <w:spacing w:after="0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realizator Programu będzie prowadził rejestr odczynów poszczepiennych.</w:t>
      </w:r>
    </w:p>
    <w:p w:rsidR="00F633FC" w:rsidRPr="00926A3C" w:rsidRDefault="00F633FC" w:rsidP="00926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Planowane interwencje: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33FC">
        <w:rPr>
          <w:rFonts w:ascii="Times New Roman" w:hAnsi="Times New Roman" w:cs="Times New Roman"/>
          <w:sz w:val="24"/>
          <w:szCs w:val="24"/>
        </w:rPr>
        <w:t xml:space="preserve">Podanie jednej dawki szczepionki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skoniugowanej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monowalentnej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przeciwko </w:t>
      </w:r>
      <w:proofErr w:type="spellStart"/>
      <w:r w:rsidRPr="00F633FC">
        <w:rPr>
          <w:rFonts w:ascii="Times New Roman" w:hAnsi="Times New Roman" w:cs="Times New Roman"/>
          <w:sz w:val="24"/>
          <w:szCs w:val="24"/>
        </w:rPr>
        <w:t>serogrupie</w:t>
      </w:r>
      <w:proofErr w:type="spellEnd"/>
      <w:r w:rsidRPr="00F633FC">
        <w:rPr>
          <w:rFonts w:ascii="Times New Roman" w:hAnsi="Times New Roman" w:cs="Times New Roman"/>
          <w:sz w:val="24"/>
          <w:szCs w:val="24"/>
        </w:rPr>
        <w:t xml:space="preserve"> C dzieciom, które ukończyły 12. miesiąc życia a nie przekroczyły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F633FC">
        <w:rPr>
          <w:rFonts w:ascii="Times New Roman" w:hAnsi="Times New Roman" w:cs="Times New Roman"/>
          <w:sz w:val="24"/>
          <w:szCs w:val="24"/>
        </w:rPr>
        <w:t>24. miesiąca życia, preferowany wiek tuż po ukończeniu 1. roku życia.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Kryteria i sposób kwalifikacji uczestników</w:t>
      </w:r>
    </w:p>
    <w:p w:rsidR="00F633FC" w:rsidRPr="00F633FC" w:rsidRDefault="00852017" w:rsidP="00F633FC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Do</w:t>
      </w:r>
      <w:r w:rsidR="00F633FC" w:rsidRPr="00F63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33FC" w:rsidRPr="00F633FC">
        <w:rPr>
          <w:rFonts w:ascii="Times New Roman" w:hAnsi="Times New Roman" w:cs="Times New Roman"/>
          <w:bCs/>
          <w:iCs/>
          <w:sz w:val="24"/>
          <w:szCs w:val="24"/>
        </w:rPr>
        <w:t xml:space="preserve">„Programu profilaktyki zakażeń </w:t>
      </w:r>
      <w:proofErr w:type="spellStart"/>
      <w:r w:rsidR="00F633FC" w:rsidRPr="00F633FC">
        <w:rPr>
          <w:rFonts w:ascii="Times New Roman" w:hAnsi="Times New Roman" w:cs="Times New Roman"/>
          <w:bCs/>
          <w:iCs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bCs/>
          <w:iCs/>
          <w:sz w:val="24"/>
          <w:szCs w:val="24"/>
        </w:rPr>
        <w:t xml:space="preserve"> dla dzieci w wieku </w:t>
      </w:r>
      <w:r w:rsidR="000E5E90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bCs/>
          <w:iCs/>
          <w:sz w:val="24"/>
          <w:szCs w:val="24"/>
        </w:rPr>
        <w:t>12-24 miesięcy, zamieszkałych w Gminie Miejskiej Kraków</w:t>
      </w:r>
      <w:r w:rsidR="00F633FC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F633FC" w:rsidRPr="00F633F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26A3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F633FC" w:rsidRPr="00F633FC">
        <w:rPr>
          <w:rFonts w:ascii="Times New Roman" w:hAnsi="Times New Roman" w:cs="Times New Roman"/>
          <w:sz w:val="24"/>
          <w:szCs w:val="24"/>
        </w:rPr>
        <w:t>zostaną zakwalifikowane dzieci spełniające</w:t>
      </w:r>
      <w:r w:rsidR="00F633FC"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3FC" w:rsidRPr="00F633FC">
        <w:rPr>
          <w:rFonts w:ascii="Times New Roman" w:hAnsi="Times New Roman" w:cs="Times New Roman"/>
          <w:sz w:val="24"/>
          <w:szCs w:val="24"/>
        </w:rPr>
        <w:t>poniższe kryteria:</w:t>
      </w:r>
    </w:p>
    <w:p w:rsidR="00F633FC" w:rsidRPr="00F633FC" w:rsidRDefault="00852017" w:rsidP="00F633FC">
      <w:pPr>
        <w:numPr>
          <w:ilvl w:val="0"/>
          <w:numId w:val="13"/>
        </w:numPr>
        <w:spacing w:after="0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na terenie Miasta Krakowa</w:t>
      </w:r>
    </w:p>
    <w:p w:rsidR="00F633FC" w:rsidRPr="00F633FC" w:rsidRDefault="00F633FC" w:rsidP="00F633FC">
      <w:pPr>
        <w:numPr>
          <w:ilvl w:val="0"/>
          <w:numId w:val="13"/>
        </w:numPr>
        <w:spacing w:after="0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 w:rsidRPr="00F633FC">
        <w:rPr>
          <w:rFonts w:ascii="Times New Roman" w:hAnsi="Times New Roman" w:cs="Times New Roman"/>
          <w:sz w:val="24"/>
          <w:szCs w:val="24"/>
        </w:rPr>
        <w:t>dzieci wcześniej niezaszczepione przeciwko meningokokom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Zasady udzielania 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wiadcze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ń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w ramach Programu</w:t>
      </w:r>
    </w:p>
    <w:p w:rsidR="00F633FC" w:rsidRPr="00F633FC" w:rsidRDefault="00852017" w:rsidP="00F633FC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color w:val="000000"/>
          <w:sz w:val="24"/>
          <w:szCs w:val="24"/>
        </w:rPr>
        <w:t xml:space="preserve">Świadczenie w postaci wykonania szczepienia przeciwko meningokokom otrzyma każde dziecko, które zostało zakwalifikowane do programu. 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Sposób powi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zania działa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ń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programu ze 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wiadczeniami zdrowotnymi </w:t>
      </w:r>
    </w:p>
    <w:p w:rsidR="00F633FC" w:rsidRPr="00F633FC" w:rsidRDefault="00852017" w:rsidP="00F633FC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Brak bezpośredniego powiązania, z uwagi na fakt, że szczepienia przeciwko meningokokom w PSO  są nadal szczepieniami zalecanymi, finansowanymi prz</w:t>
      </w:r>
      <w:r w:rsidR="00F633FC">
        <w:rPr>
          <w:rFonts w:ascii="Times New Roman" w:hAnsi="Times New Roman" w:cs="Times New Roman"/>
          <w:sz w:val="24"/>
          <w:szCs w:val="24"/>
        </w:rPr>
        <w:t>ez rodziców dzieci szczepionych.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Sposób zako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ń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czenia udziału w programie i mo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liwo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ci kontynuacji otrzymywania 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wiadcze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ń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zdrowotnych przez uczestników programu, je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eli istniej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wskazania</w:t>
      </w:r>
    </w:p>
    <w:p w:rsidR="00F633FC" w:rsidRPr="00F633FC" w:rsidRDefault="00852017" w:rsidP="00F633F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Pełne uczestnictwo w programie polega na zrealizowaniu schematu szczepień szczepionką przeciwko meningo</w:t>
      </w:r>
      <w:r w:rsidR="00F633FC">
        <w:rPr>
          <w:rFonts w:ascii="Times New Roman" w:hAnsi="Times New Roman" w:cs="Times New Roman"/>
          <w:sz w:val="24"/>
          <w:szCs w:val="24"/>
        </w:rPr>
        <w:t xml:space="preserve">kokom. </w:t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Zakończenie udziału w programie jest możliwe na każdym etapie programu na życzenie rodziców dziecka. </w:t>
      </w:r>
    </w:p>
    <w:p w:rsidR="00F633FC" w:rsidRPr="00F633FC" w:rsidRDefault="00F633FC" w:rsidP="00F633FC">
      <w:pPr>
        <w:autoSpaceDE w:val="0"/>
        <w:autoSpaceDN w:val="0"/>
        <w:adjustRightInd w:val="0"/>
        <w:spacing w:after="0"/>
        <w:ind w:left="851" w:hanging="42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ab/>
        <w:t>Bezpiecze</w:t>
      </w:r>
      <w:r w:rsidRPr="00F633FC">
        <w:rPr>
          <w:rFonts w:ascii="Times New Roman" w:eastAsia="TimesNewRoman" w:hAnsi="Times New Roman" w:cs="Times New Roman"/>
          <w:b/>
          <w:bCs/>
          <w:sz w:val="24"/>
          <w:szCs w:val="24"/>
        </w:rPr>
        <w:t>ń</w:t>
      </w:r>
      <w:r w:rsidRPr="00F633FC">
        <w:rPr>
          <w:rFonts w:ascii="Times New Roman" w:hAnsi="Times New Roman" w:cs="Times New Roman"/>
          <w:b/>
          <w:bCs/>
          <w:sz w:val="24"/>
          <w:szCs w:val="24"/>
        </w:rPr>
        <w:t>stwo planowanych interwencji</w:t>
      </w:r>
    </w:p>
    <w:p w:rsidR="00F633FC" w:rsidRDefault="00852017" w:rsidP="00F633F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Program szczepień będzie realizowany przez jednostki medyczne, które zostaną wybrane do realizacji programu w drodze konkursu Szczepienie dzieci będzie przeprowadzone z zachowaniem wszelkich warunków, określonych dla prawidłowego szczepienia. </w:t>
      </w:r>
    </w:p>
    <w:p w:rsidR="00F633FC" w:rsidRPr="00F633FC" w:rsidRDefault="00F633FC" w:rsidP="00F633F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pStyle w:val="Nagwek1"/>
        <w:numPr>
          <w:ilvl w:val="0"/>
          <w:numId w:val="4"/>
        </w:numPr>
        <w:spacing w:before="0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04898468"/>
      <w:r w:rsidRPr="00F633FC">
        <w:rPr>
          <w:rFonts w:ascii="Times New Roman" w:hAnsi="Times New Roman" w:cs="Times New Roman"/>
          <w:color w:val="auto"/>
          <w:sz w:val="24"/>
          <w:szCs w:val="24"/>
        </w:rPr>
        <w:t>Monitorowanie i ewaluacja</w:t>
      </w:r>
      <w:bookmarkEnd w:id="1"/>
    </w:p>
    <w:p w:rsidR="00F633FC" w:rsidRPr="00F633FC" w:rsidRDefault="00F633FC" w:rsidP="00F633FC">
      <w:pPr>
        <w:pStyle w:val="Nagwek2"/>
        <w:numPr>
          <w:ilvl w:val="0"/>
          <w:numId w:val="14"/>
        </w:numPr>
        <w:spacing w:before="0"/>
        <w:ind w:left="709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04898469"/>
      <w:r w:rsidRPr="00F633FC">
        <w:rPr>
          <w:rFonts w:ascii="Times New Roman" w:hAnsi="Times New Roman" w:cs="Times New Roman"/>
          <w:color w:val="auto"/>
          <w:sz w:val="24"/>
          <w:szCs w:val="24"/>
        </w:rPr>
        <w:t>Ocena zgłaszalności do programu</w:t>
      </w:r>
      <w:bookmarkEnd w:id="2"/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Zgłaszalność do programu zostanie oceniona na podstawie listy osób, które zakończyły cykl szczepień. Zgłaszalność do programów profilaktyki zdrowotnej związana jest ze specyfiką samego programu, najniższa jest w programach dotyczących dorosłej populacji tj. profilaktyka nowotworów piersi, szyjki macicy, czy jelita grubego i wynosi od 6% do 48%, a najwyższa w programach dotyczących zdrowia dzieci np. 99% frekwencja w programie szczepień przeciwko pneumokokom prowadzonym w Kielcach.</w:t>
      </w:r>
      <w:r w:rsidR="00F633FC" w:rsidRPr="00F633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Podjęcie szerokich akcji informacyjnych oraz indywidualnych zaproszeń </w:t>
      </w:r>
      <w:r w:rsidR="001D428D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do uczestnictwa w programie może wpłynąć na podniesienie frekwencji, do 60-70%, </w:t>
      </w:r>
      <w:r w:rsidR="00926A3C">
        <w:rPr>
          <w:rFonts w:ascii="Times New Roman" w:hAnsi="Times New Roman" w:cs="Times New Roman"/>
          <w:sz w:val="24"/>
          <w:szCs w:val="24"/>
        </w:rPr>
        <w:br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co by świadczyło o wysokiej efektywności programu. </w:t>
      </w:r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Informacja o wysokości frekwencji będzie oszacowana w trakcie trwania programu (próba ponowienia zaproszeń w razie niskiej frekwencji) oraz po zakończeniu programu na podstawie list uczestnictwa</w:t>
      </w:r>
      <w:r w:rsidR="00F633FC" w:rsidRPr="00F633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33FC" w:rsidRPr="00F633FC" w:rsidRDefault="00F633FC" w:rsidP="00F633FC">
      <w:pPr>
        <w:pStyle w:val="Nagwek2"/>
        <w:numPr>
          <w:ilvl w:val="0"/>
          <w:numId w:val="14"/>
        </w:numPr>
        <w:spacing w:before="0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04898471"/>
      <w:r w:rsidRPr="00F633FC">
        <w:rPr>
          <w:rFonts w:ascii="Times New Roman" w:hAnsi="Times New Roman" w:cs="Times New Roman"/>
          <w:color w:val="auto"/>
          <w:sz w:val="24"/>
          <w:szCs w:val="24"/>
        </w:rPr>
        <w:t>Ocena efektywności programu</w:t>
      </w:r>
      <w:bookmarkEnd w:id="3"/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Ze względu na fakt, że inwazyjnych chorób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meningokokowych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(posocznica, zapalenie opon mózgowo-rdzeniowych) odnotowuje się stosunkowo niedużo, stąd efektywność programu nawet na przełomie kilku lat może być słabo widoczna. Doświadczenia krajów, w których szczepionka jest stosowana w większej skali skłaniają do szacunków znacznego obniżenia się liczby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. Taki szacunek skuteczności programu wprowadzonego przez samorząd można by przeprowadzić w oparciu o założony rejestr i dość złożoną procedurę rejestracji i monitorowania zakażeń, co prawdopodobnie wykracza finansowo poza możliwości samorządu. </w:t>
      </w:r>
    </w:p>
    <w:p w:rsidR="00F633FC" w:rsidRDefault="00852017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 xml:space="preserve">Należy zwrócić w tym miejscu uwagę, na fakt że w 10% zachorowań występują zgony, szczepienia przeciwko </w:t>
      </w:r>
      <w:proofErr w:type="spellStart"/>
      <w:r w:rsidR="00F633FC" w:rsidRPr="00F633FC">
        <w:rPr>
          <w:rFonts w:ascii="Times New Roman" w:hAnsi="Times New Roman" w:cs="Times New Roman"/>
          <w:sz w:val="24"/>
          <w:szCs w:val="24"/>
        </w:rPr>
        <w:t>IChM</w:t>
      </w:r>
      <w:proofErr w:type="spellEnd"/>
      <w:r w:rsidR="00F633FC" w:rsidRPr="00F633FC">
        <w:rPr>
          <w:rFonts w:ascii="Times New Roman" w:hAnsi="Times New Roman" w:cs="Times New Roman"/>
          <w:sz w:val="24"/>
          <w:szCs w:val="24"/>
        </w:rPr>
        <w:t xml:space="preserve"> nie są wprowadzane z uwagi na częstotliwość jej występowania lecz przede wszystkim w celu wykluczenia ryzyka jej tragicznego finału.</w:t>
      </w:r>
    </w:p>
    <w:p w:rsidR="00F633FC" w:rsidRPr="00F633FC" w:rsidRDefault="00F633FC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633FC" w:rsidRPr="00F633FC" w:rsidRDefault="00F633FC" w:rsidP="00F633FC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3FC">
        <w:rPr>
          <w:rFonts w:ascii="Times New Roman" w:hAnsi="Times New Roman" w:cs="Times New Roman"/>
          <w:b/>
          <w:bCs/>
          <w:sz w:val="24"/>
          <w:szCs w:val="24"/>
        </w:rPr>
        <w:t>Koszt realizacji Programu</w:t>
      </w:r>
    </w:p>
    <w:p w:rsidR="00F633FC" w:rsidRPr="00F633FC" w:rsidRDefault="00852017" w:rsidP="00F633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3FC" w:rsidRPr="00F633FC">
        <w:rPr>
          <w:rFonts w:ascii="Times New Roman" w:hAnsi="Times New Roman" w:cs="Times New Roman"/>
          <w:sz w:val="24"/>
          <w:szCs w:val="24"/>
        </w:rPr>
        <w:t>W okresie realizacji programu należy ustalić roczny budżet jego realizacji. Obejmuje on koszt zakupu szczepionki oraz koszty administracyjne prowadzenia Programu. Ceny szczepionek nie mogą odbiegać znacząco od cen rynkowych.</w:t>
      </w:r>
    </w:p>
    <w:p w:rsidR="00477B53" w:rsidRPr="00F633FC" w:rsidRDefault="00477B53" w:rsidP="00F633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B53" w:rsidRPr="00F633FC" w:rsidSect="00477B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4A" w:rsidRDefault="00F0564A" w:rsidP="00F633FC">
      <w:pPr>
        <w:spacing w:after="0"/>
      </w:pPr>
      <w:r>
        <w:separator/>
      </w:r>
    </w:p>
  </w:endnote>
  <w:endnote w:type="continuationSeparator" w:id="0">
    <w:p w:rsidR="00F0564A" w:rsidRDefault="00F0564A" w:rsidP="00F633FC">
      <w:pPr>
        <w:spacing w:after="0"/>
      </w:pPr>
      <w:r>
        <w:continuationSeparator/>
      </w:r>
    </w:p>
  </w:endnote>
  <w:endnote w:id="1">
    <w:p w:rsidR="00F633FC" w:rsidRDefault="00F633FC" w:rsidP="00F633FC">
      <w:pPr>
        <w:autoSpaceDE w:val="0"/>
        <w:autoSpaceDN w:val="0"/>
        <w:adjustRightInd w:val="0"/>
        <w:spacing w:after="0"/>
        <w:jc w:val="left"/>
      </w:pPr>
      <w:r w:rsidRPr="00D47CD5">
        <w:rPr>
          <w:rStyle w:val="Odwoanieprzypisukocowego"/>
          <w:sz w:val="20"/>
          <w:szCs w:val="20"/>
        </w:rPr>
        <w:endnoteRef/>
      </w:r>
      <w:r w:rsidRPr="00D47CD5">
        <w:rPr>
          <w:sz w:val="20"/>
          <w:szCs w:val="20"/>
        </w:rPr>
        <w:t xml:space="preserve"> Skoczyńska A. i wsp. Inwazyjna choroba meningokokowa u chorych poniżej 20. roku życia w Polsce w latach 2009–2011. Pediatria Polska 87(2012) s.438 – 443</w:t>
      </w:r>
    </w:p>
  </w:endnote>
  <w:endnote w:id="2">
    <w:p w:rsidR="00F633FC" w:rsidRDefault="00F633FC" w:rsidP="00F633F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11949">
        <w:t>http://www.baxter.com.pl/conditions/infectious_diseases/sub/meningitis2.html</w:t>
      </w:r>
    </w:p>
  </w:endnote>
  <w:endnote w:id="3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2009 roku – NIZP-PZH Warszawa 20</w:t>
      </w:r>
      <w:r>
        <w:t>10</w:t>
      </w:r>
    </w:p>
  </w:endnote>
  <w:endnote w:id="4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2010 roku – NIZP-PZH Warszawa 201</w:t>
      </w:r>
      <w:r>
        <w:t>1</w:t>
      </w:r>
    </w:p>
  </w:endnote>
  <w:endnote w:id="5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2011 roku – NIZP-PZH Warszawa 201</w:t>
      </w:r>
      <w:r>
        <w:t>2</w:t>
      </w:r>
    </w:p>
  </w:endnote>
  <w:endnote w:id="6">
    <w:p w:rsidR="00F633FC" w:rsidRDefault="00F633FC" w:rsidP="00F633F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EC1108">
        <w:t>http://demografia.stat.gov.pl/bazademografia/CustomSelectData.aspx?s=uro&amp;y=2010&amp;t=00/12/61/011</w:t>
      </w:r>
    </w:p>
  </w:endnote>
  <w:endnote w:id="7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2009 roku – NIZP-PZH Warszawa 20</w:t>
      </w:r>
      <w:r>
        <w:t>10</w:t>
      </w:r>
    </w:p>
  </w:endnote>
  <w:endnote w:id="8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2010 roku – NIZP-PZH Warszawa 201</w:t>
      </w:r>
      <w:r>
        <w:t>1</w:t>
      </w:r>
    </w:p>
  </w:endnote>
  <w:endnote w:id="9">
    <w:p w:rsidR="00F633FC" w:rsidRDefault="00F633FC" w:rsidP="00F633FC">
      <w:pPr>
        <w:pStyle w:val="Tekstprzypisukocowego"/>
      </w:pPr>
      <w:r w:rsidRPr="00D47CD5">
        <w:rPr>
          <w:rStyle w:val="Odwoanieprzypisukocowego"/>
        </w:rPr>
        <w:endnoteRef/>
      </w:r>
      <w:r w:rsidRPr="00D47CD5">
        <w:t xml:space="preserve"> Choroby zakaźne i zatrucia w Polsce w 2011 roku – NIZP-PZH Warszawa 201</w:t>
      </w:r>
      <w:r>
        <w:t>2</w:t>
      </w:r>
    </w:p>
  </w:endnote>
  <w:endnote w:id="10">
    <w:p w:rsidR="00F633FC" w:rsidRDefault="00F633FC" w:rsidP="00F633FC">
      <w:pPr>
        <w:autoSpaceDE w:val="0"/>
        <w:autoSpaceDN w:val="0"/>
        <w:adjustRightInd w:val="0"/>
        <w:spacing w:after="0"/>
        <w:jc w:val="left"/>
      </w:pPr>
      <w:r>
        <w:rPr>
          <w:rStyle w:val="Odwoanieprzypisukocowego"/>
        </w:rPr>
        <w:endnoteRef/>
      </w:r>
      <w:r>
        <w:t xml:space="preserve"> </w:t>
      </w:r>
      <w:r w:rsidRPr="00A55AFB">
        <w:rPr>
          <w:sz w:val="20"/>
          <w:szCs w:val="20"/>
        </w:rPr>
        <w:t xml:space="preserve">Konior R. i współautorzy. Profilaktyka zakażeń </w:t>
      </w:r>
      <w:r w:rsidRPr="00A55AFB">
        <w:rPr>
          <w:sz w:val="20"/>
          <w:szCs w:val="20"/>
        </w:rPr>
        <w:t>meningokokowych – praktyczne aspekty szczepień, Pediatria Polska 87 (2012) 489 – 497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vOTb36309a7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76101"/>
      <w:docPartObj>
        <w:docPartGallery w:val="Page Numbers (Bottom of Page)"/>
        <w:docPartUnique/>
      </w:docPartObj>
    </w:sdtPr>
    <w:sdtEndPr/>
    <w:sdtContent>
      <w:p w:rsidR="00F633FC" w:rsidRDefault="00297560">
        <w:pPr>
          <w:pStyle w:val="Stopka"/>
          <w:jc w:val="right"/>
        </w:pPr>
        <w:r w:rsidRPr="00F63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33FC" w:rsidRPr="00F63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0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633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33FC" w:rsidRPr="00F633FC" w:rsidRDefault="00F633FC">
    <w:pPr>
      <w:pStyle w:val="Stopka"/>
      <w:rPr>
        <w:rFonts w:ascii="Times New Roman" w:hAnsi="Times New Roman" w:cs="Times New Roman"/>
        <w:sz w:val="20"/>
        <w:szCs w:val="20"/>
      </w:rPr>
    </w:pPr>
    <w:r w:rsidRPr="00F633FC">
      <w:rPr>
        <w:rFonts w:ascii="Times New Roman" w:hAnsi="Times New Roman" w:cs="Times New Roman"/>
        <w:sz w:val="20"/>
        <w:szCs w:val="20"/>
      </w:rPr>
      <w:t xml:space="preserve">Wydział Polityki Społecznej i Zdrowia, Urząd Miasta Krakowa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4A" w:rsidRDefault="00F0564A" w:rsidP="00F633FC">
      <w:pPr>
        <w:spacing w:after="0"/>
      </w:pPr>
      <w:r>
        <w:separator/>
      </w:r>
    </w:p>
  </w:footnote>
  <w:footnote w:type="continuationSeparator" w:id="0">
    <w:p w:rsidR="00F0564A" w:rsidRDefault="00F0564A" w:rsidP="00F633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32E"/>
    <w:multiLevelType w:val="hybridMultilevel"/>
    <w:tmpl w:val="D03E5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AF4"/>
    <w:multiLevelType w:val="multilevel"/>
    <w:tmpl w:val="10D2C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B91D90"/>
    <w:multiLevelType w:val="hybridMultilevel"/>
    <w:tmpl w:val="C0E4A3BE"/>
    <w:lvl w:ilvl="0" w:tplc="3E468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63B"/>
    <w:multiLevelType w:val="hybridMultilevel"/>
    <w:tmpl w:val="423ED78A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418F4"/>
    <w:multiLevelType w:val="hybridMultilevel"/>
    <w:tmpl w:val="CAD0089A"/>
    <w:lvl w:ilvl="0" w:tplc="62E42788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834F1"/>
    <w:multiLevelType w:val="hybridMultilevel"/>
    <w:tmpl w:val="78249492"/>
    <w:lvl w:ilvl="0" w:tplc="CB564D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D44F06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F7D28"/>
    <w:multiLevelType w:val="hybridMultilevel"/>
    <w:tmpl w:val="F8C0639A"/>
    <w:lvl w:ilvl="0" w:tplc="2A320F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E0D90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07F"/>
    <w:multiLevelType w:val="hybridMultilevel"/>
    <w:tmpl w:val="09AA2A60"/>
    <w:lvl w:ilvl="0" w:tplc="0A9C5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A4B9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2287A"/>
    <w:multiLevelType w:val="hybridMultilevel"/>
    <w:tmpl w:val="ECFE802A"/>
    <w:lvl w:ilvl="0" w:tplc="43F80CAA">
      <w:start w:val="1"/>
      <w:numFmt w:val="decimal"/>
      <w:lvlText w:val="%1."/>
      <w:lvlJc w:val="center"/>
      <w:pPr>
        <w:ind w:left="178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C5D2CBB"/>
    <w:multiLevelType w:val="hybridMultilevel"/>
    <w:tmpl w:val="D2546BFA"/>
    <w:lvl w:ilvl="0" w:tplc="C00AE628">
      <w:start w:val="4"/>
      <w:numFmt w:val="decimal"/>
      <w:lvlText w:val="%1."/>
      <w:lvlJc w:val="left"/>
      <w:pPr>
        <w:ind w:left="321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0A3285D"/>
    <w:multiLevelType w:val="hybridMultilevel"/>
    <w:tmpl w:val="C3D44A22"/>
    <w:lvl w:ilvl="0" w:tplc="D87C902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F51DA"/>
    <w:multiLevelType w:val="hybridMultilevel"/>
    <w:tmpl w:val="E3245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AB6CC7"/>
    <w:multiLevelType w:val="hybridMultilevel"/>
    <w:tmpl w:val="D2FA760E"/>
    <w:lvl w:ilvl="0" w:tplc="776845E6">
      <w:start w:val="1"/>
      <w:numFmt w:val="decimal"/>
      <w:lvlText w:val="%1."/>
      <w:lvlJc w:val="center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AD60D19C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4B471D3"/>
    <w:multiLevelType w:val="hybridMultilevel"/>
    <w:tmpl w:val="675E1AE2"/>
    <w:lvl w:ilvl="0" w:tplc="A38258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220F"/>
    <w:multiLevelType w:val="hybridMultilevel"/>
    <w:tmpl w:val="C9B4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FC"/>
    <w:rsid w:val="000E5E90"/>
    <w:rsid w:val="000F2C78"/>
    <w:rsid w:val="001144BC"/>
    <w:rsid w:val="001D428D"/>
    <w:rsid w:val="001F5031"/>
    <w:rsid w:val="00207A3E"/>
    <w:rsid w:val="00263213"/>
    <w:rsid w:val="00271574"/>
    <w:rsid w:val="00285A99"/>
    <w:rsid w:val="00297560"/>
    <w:rsid w:val="002D1AE7"/>
    <w:rsid w:val="004610B3"/>
    <w:rsid w:val="00477B53"/>
    <w:rsid w:val="00506017"/>
    <w:rsid w:val="005A7CBE"/>
    <w:rsid w:val="005D4BA0"/>
    <w:rsid w:val="00782165"/>
    <w:rsid w:val="00844F5F"/>
    <w:rsid w:val="00852017"/>
    <w:rsid w:val="00926A3C"/>
    <w:rsid w:val="00B23122"/>
    <w:rsid w:val="00C71E35"/>
    <w:rsid w:val="00CB533A"/>
    <w:rsid w:val="00CD1E70"/>
    <w:rsid w:val="00DC0BB7"/>
    <w:rsid w:val="00E131E6"/>
    <w:rsid w:val="00E42F7F"/>
    <w:rsid w:val="00F009EC"/>
    <w:rsid w:val="00F0564A"/>
    <w:rsid w:val="00F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EBCBAE"/>
  <w15:docId w15:val="{B69C0D86-0525-4F7B-978C-8E5F49E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3FC"/>
    <w:pPr>
      <w:spacing w:after="120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3F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3F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33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633FC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F633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633F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33F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3F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633FC"/>
    <w:rPr>
      <w:rFonts w:ascii="AdvOTb36309a7+01" w:hAnsi="AdvOTb36309a7+01" w:cs="AdvOTb36309a7+01"/>
      <w:sz w:val="16"/>
      <w:szCs w:val="16"/>
      <w:vertAlign w:val="superscript"/>
    </w:rPr>
  </w:style>
  <w:style w:type="paragraph" w:customStyle="1" w:styleId="Akapitzlist1">
    <w:name w:val="Akapit z listą1"/>
    <w:basedOn w:val="Normalny"/>
    <w:uiPriority w:val="99"/>
    <w:rsid w:val="00F633FC"/>
    <w:pPr>
      <w:spacing w:before="200" w:after="200" w:line="276" w:lineRule="auto"/>
      <w:ind w:left="720"/>
      <w:contextualSpacing/>
      <w:jc w:val="left"/>
    </w:pPr>
    <w:rPr>
      <w:rFonts w:eastAsia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33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633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33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8772-B101-4C25-A298-F41B5A8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Jabłońska Joanna</cp:lastModifiedBy>
  <cp:revision>6</cp:revision>
  <dcterms:created xsi:type="dcterms:W3CDTF">2019-06-19T13:32:00Z</dcterms:created>
  <dcterms:modified xsi:type="dcterms:W3CDTF">2020-07-02T06:44:00Z</dcterms:modified>
</cp:coreProperties>
</file>