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5F" w:rsidRPr="00743E88" w:rsidRDefault="0053655F" w:rsidP="0053655F">
      <w:pPr>
        <w:rPr>
          <w:rFonts w:ascii="Lato" w:hAnsi="Lato"/>
          <w:b/>
        </w:rPr>
      </w:pPr>
      <w:r w:rsidRPr="00743E88">
        <w:rPr>
          <w:rFonts w:ascii="Lato" w:hAnsi="Lato"/>
          <w:b/>
        </w:rPr>
        <w:t xml:space="preserve">Stosowanie ustawy z dnia 20 lipca 2018 r. o przekształceniu prawa użytkowania wieczystego gruntów zabudowanych na cele mieszkaniowe w prawo własności tych gruntów </w:t>
      </w:r>
      <w:r w:rsidR="00743E88">
        <w:rPr>
          <w:rFonts w:ascii="Lato" w:hAnsi="Lato"/>
          <w:b/>
        </w:rPr>
        <w:t>(Dz. U. z 2018 </w:t>
      </w:r>
      <w:r w:rsidRPr="00743E88">
        <w:rPr>
          <w:rFonts w:ascii="Lato" w:hAnsi="Lato"/>
          <w:b/>
        </w:rPr>
        <w:t xml:space="preserve">r., poz. 1716, 2540, z 2019 r. poz. 270) w odniesieniu do przedsiębiorców 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Z dniem 1 stycznia 2019 r. prawo użytkowania wieczystego gruntów zabudowanych na cele mieszkaniowe przekształciło się w prawo własności tych gruntów. Przekształcenie dotyczy gruntów zabudowanych: 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 a) </w:t>
      </w:r>
      <w:r w:rsidRPr="00743E88">
        <w:rPr>
          <w:rFonts w:ascii="Lato" w:hAnsi="Lato"/>
          <w:b/>
        </w:rPr>
        <w:t>budynkami mieszkalnymi jednorodzinnymi</w:t>
      </w:r>
      <w:r w:rsidRPr="00743E88">
        <w:rPr>
          <w:rFonts w:ascii="Lato" w:hAnsi="Lato"/>
        </w:rPr>
        <w:t xml:space="preserve"> wraz z budynkami gospodarczymi, garażami, innymi obiektami budowlanymi lub urządzeniami budowlany</w:t>
      </w:r>
      <w:r w:rsidR="00743E88">
        <w:rPr>
          <w:rFonts w:ascii="Lato" w:hAnsi="Lato"/>
        </w:rPr>
        <w:t>mi umożliwiającymi prawidłowe i </w:t>
      </w:r>
      <w:r w:rsidRPr="00743E88">
        <w:rPr>
          <w:rFonts w:ascii="Lato" w:hAnsi="Lato"/>
        </w:rPr>
        <w:t>racjonalne korzystanie z budynków mieszkalnych,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b) </w:t>
      </w:r>
      <w:r w:rsidRPr="00743E88">
        <w:rPr>
          <w:rFonts w:ascii="Lato" w:hAnsi="Lato"/>
          <w:b/>
        </w:rPr>
        <w:t>budynkami mieszkalnymi wielorodzinnymi, w których co najmniej połowę liczby lokali stanowią lokale mieszkalne</w:t>
      </w:r>
      <w:r w:rsidRPr="00743E88">
        <w:rPr>
          <w:rFonts w:ascii="Lato" w:hAnsi="Lato"/>
        </w:rPr>
        <w:t xml:space="preserve"> wraz z budynkami gospodarczymi, garażami, innymi obiektami budowlanymi lub urządzeniami budowlanymi umożliwiającymi prawidłowe 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i racjonalne korzystanie z budynków mieszkalnych.</w:t>
      </w:r>
    </w:p>
    <w:p w:rsidR="0053655F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Jeżeli budynki mieszkalne, o których mowa powyżej  są wykorzystywane w części na cele inne niż mieszkalne (np. usługowe, handlowe, czy też są przedmiotem wynajmu), -  a więc są związane z prowadzeniem działalności gospodarczej, to beneficjentem pr</w:t>
      </w:r>
      <w:r w:rsidR="00743E88">
        <w:rPr>
          <w:rFonts w:ascii="Lato" w:hAnsi="Lato"/>
        </w:rPr>
        <w:t>zekształcenia  w odniesieniu do </w:t>
      </w:r>
      <w:r w:rsidRPr="00743E88">
        <w:rPr>
          <w:rFonts w:ascii="Lato" w:hAnsi="Lato"/>
        </w:rPr>
        <w:t xml:space="preserve">tej części nieruchomości jest przedsiębiorca. W takiej sytuacji  przepisy ustawy </w:t>
      </w:r>
      <w:proofErr w:type="spellStart"/>
      <w:r w:rsidRPr="00743E88">
        <w:rPr>
          <w:rFonts w:ascii="Lato" w:hAnsi="Lato"/>
        </w:rPr>
        <w:t>przekształceniowej</w:t>
      </w:r>
      <w:proofErr w:type="spellEnd"/>
      <w:r w:rsidRPr="00743E88">
        <w:rPr>
          <w:rFonts w:ascii="Lato" w:hAnsi="Lato"/>
        </w:rPr>
        <w:t xml:space="preserve"> stosowane są z uwzględnieniem przepisów o pomocy publicznej (art. 14 ust. 1 ustawy). Udzielenie pomocy publicznej wymaga spełnieni</w:t>
      </w:r>
      <w:r w:rsidR="00743E88">
        <w:rPr>
          <w:rFonts w:ascii="Lato" w:hAnsi="Lato"/>
        </w:rPr>
        <w:t>a warunków udzielenia pomocy de 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określonych w  Rozporządzeniu Komisji (UE) nr 1407/2013 z dnia 18 grudnia 2013 r. w sprawie stosowania art. 107 i 108 Traktatu o funkcjonowaniu</w:t>
      </w:r>
      <w:r w:rsidR="00743E88">
        <w:rPr>
          <w:rFonts w:ascii="Lato" w:hAnsi="Lato"/>
        </w:rPr>
        <w:t xml:space="preserve"> Unii Europejskiej do pomocy de 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(Dz. Urz. UE L 352 z 24.12.2013 r., str. 1). </w:t>
      </w:r>
    </w:p>
    <w:p w:rsidR="00D52498" w:rsidRPr="00743E88" w:rsidRDefault="00D52498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Przepisy o pomocy publicznej mają  zastosowanie w odniesieniu do:</w:t>
      </w:r>
    </w:p>
    <w:p w:rsidR="0053655F" w:rsidRPr="00743E88" w:rsidRDefault="00743E88" w:rsidP="0053655F">
      <w:pPr>
        <w:rPr>
          <w:rFonts w:ascii="Lato" w:hAnsi="Lato"/>
        </w:rPr>
      </w:pPr>
      <w:r>
        <w:rPr>
          <w:rFonts w:ascii="Lato" w:hAnsi="Lato"/>
        </w:rPr>
        <w:t>• </w:t>
      </w:r>
      <w:r w:rsidR="0053655F" w:rsidRPr="00743E88">
        <w:rPr>
          <w:rFonts w:ascii="Lato" w:hAnsi="Lato"/>
        </w:rPr>
        <w:t>właścicieli lokali użytkowych w budynkach mieszkalnych,</w:t>
      </w:r>
    </w:p>
    <w:p w:rsidR="0053655F" w:rsidRPr="00743E88" w:rsidRDefault="00743E88" w:rsidP="0053655F">
      <w:pPr>
        <w:rPr>
          <w:rFonts w:ascii="Lato" w:hAnsi="Lato"/>
        </w:rPr>
      </w:pPr>
      <w:r>
        <w:rPr>
          <w:rFonts w:ascii="Lato" w:hAnsi="Lato"/>
        </w:rPr>
        <w:t>• </w:t>
      </w:r>
      <w:r w:rsidR="0053655F" w:rsidRPr="00743E88">
        <w:rPr>
          <w:rFonts w:ascii="Lato" w:hAnsi="Lato"/>
        </w:rPr>
        <w:t>osób fizycznych prowadzących działalność gospodarczą</w:t>
      </w:r>
      <w:r>
        <w:rPr>
          <w:rFonts w:ascii="Lato" w:hAnsi="Lato"/>
        </w:rPr>
        <w:t xml:space="preserve"> w lokalach mieszkalnych oraz w </w:t>
      </w:r>
      <w:r w:rsidR="0053655F" w:rsidRPr="00743E88">
        <w:rPr>
          <w:rFonts w:ascii="Lato" w:hAnsi="Lato"/>
        </w:rPr>
        <w:t>domach jednorodzinnych.</w:t>
      </w:r>
    </w:p>
    <w:p w:rsidR="0053655F" w:rsidRPr="00743E88" w:rsidRDefault="00743E88" w:rsidP="0053655F">
      <w:pPr>
        <w:rPr>
          <w:rFonts w:ascii="Lato" w:hAnsi="Lato"/>
        </w:rPr>
      </w:pPr>
      <w:r>
        <w:rPr>
          <w:rFonts w:ascii="Lato" w:hAnsi="Lato"/>
        </w:rPr>
        <w:t>• </w:t>
      </w:r>
      <w:r w:rsidR="0053655F" w:rsidRPr="00743E88">
        <w:rPr>
          <w:rFonts w:ascii="Lato" w:hAnsi="Lato"/>
        </w:rPr>
        <w:t>deweloperów (w zakresie mieszkań/lokali niesprzedanych w momencie przekształcenia),</w:t>
      </w:r>
    </w:p>
    <w:p w:rsidR="0053655F" w:rsidRDefault="00743E88" w:rsidP="0053655F">
      <w:pPr>
        <w:rPr>
          <w:rFonts w:ascii="Lato" w:hAnsi="Lato"/>
        </w:rPr>
      </w:pPr>
      <w:r>
        <w:rPr>
          <w:rFonts w:ascii="Lato" w:hAnsi="Lato"/>
        </w:rPr>
        <w:t>• </w:t>
      </w:r>
      <w:r w:rsidR="0053655F" w:rsidRPr="00743E88">
        <w:rPr>
          <w:rFonts w:ascii="Lato" w:hAnsi="Lato"/>
        </w:rPr>
        <w:t>spółdzielni mieszkaniowych (w zakresie wynajmowanych lokali użytkowych)</w:t>
      </w:r>
      <w:r w:rsidR="00D52498">
        <w:rPr>
          <w:rFonts w:ascii="Lato" w:hAnsi="Lato"/>
        </w:rPr>
        <w:t>.</w:t>
      </w:r>
    </w:p>
    <w:p w:rsidR="00D52498" w:rsidRDefault="00D52498" w:rsidP="0053655F">
      <w:pPr>
        <w:rPr>
          <w:rFonts w:ascii="Lato" w:hAnsi="Lato"/>
        </w:rPr>
      </w:pPr>
    </w:p>
    <w:p w:rsidR="00504176" w:rsidRPr="00316167" w:rsidRDefault="00D52498" w:rsidP="00D52498">
      <w:pPr>
        <w:rPr>
          <w:rFonts w:ascii="Lato" w:hAnsi="Lato"/>
        </w:rPr>
      </w:pPr>
      <w:r w:rsidRPr="00316167">
        <w:rPr>
          <w:rFonts w:ascii="Lato" w:hAnsi="Lato" w:cs="Times New Roman"/>
        </w:rPr>
        <w:t xml:space="preserve">Przedsiębiorcą jest każdy podmiot - zarówno osoba fizyczna prowadząca działalność gospodarczą wpisaną do ewidencji/rejestru lub też bez formalnego wpisu do rejestru, jak </w:t>
      </w:r>
      <w:r w:rsidR="0027283A" w:rsidRPr="00316167">
        <w:rPr>
          <w:rFonts w:ascii="Lato" w:hAnsi="Lato" w:cs="Times New Roman"/>
        </w:rPr>
        <w:br/>
      </w:r>
      <w:r w:rsidRPr="00316167">
        <w:rPr>
          <w:rFonts w:ascii="Lato" w:hAnsi="Lato" w:cs="Times New Roman"/>
        </w:rPr>
        <w:t xml:space="preserve">i spółka prawa handlowego, spółka cywilna, spółdzielnia socjalna, stowarzyszenie, fundacja, instytucja kultury - jeżeli faktycznie prowadzi działalność gospodarczą w rozumieniu prawa unijnego, czyli oferuje produkty lub usługi na rynku, </w:t>
      </w:r>
      <w:r w:rsidRPr="00316167">
        <w:rPr>
          <w:rFonts w:ascii="Lato" w:hAnsi="Lato"/>
        </w:rPr>
        <w:t xml:space="preserve">w tym także wynajmuje lokal/nieruchomość </w:t>
      </w:r>
      <w:r w:rsidR="00CF64B2" w:rsidRPr="00316167">
        <w:rPr>
          <w:rFonts w:ascii="Lato" w:hAnsi="Lato"/>
        </w:rPr>
        <w:t>objęte przekształceniem.</w:t>
      </w:r>
      <w:r w:rsidR="00504176" w:rsidRPr="00316167">
        <w:rPr>
          <w:rFonts w:ascii="Lato" w:hAnsi="Lato"/>
        </w:rPr>
        <w:t xml:space="preserve"> </w:t>
      </w:r>
    </w:p>
    <w:p w:rsidR="00D52498" w:rsidRPr="00316167" w:rsidRDefault="00D52498" w:rsidP="00D52498">
      <w:pPr>
        <w:rPr>
          <w:rFonts w:ascii="Lato" w:hAnsi="Lato" w:cs="Times New Roman"/>
        </w:rPr>
      </w:pPr>
      <w:r w:rsidRPr="00316167">
        <w:rPr>
          <w:rFonts w:ascii="Lato" w:hAnsi="Lato" w:cs="Times New Roman"/>
        </w:rPr>
        <w:t xml:space="preserve">Przedsiębiorcą jest zatem </w:t>
      </w:r>
      <w:r w:rsidR="00504176" w:rsidRPr="00316167">
        <w:rPr>
          <w:rFonts w:ascii="Lato" w:hAnsi="Lato" w:cs="Times New Roman"/>
        </w:rPr>
        <w:t xml:space="preserve">każdy </w:t>
      </w:r>
      <w:r w:rsidRPr="00316167">
        <w:rPr>
          <w:rFonts w:ascii="Lato" w:hAnsi="Lato" w:cs="Times New Roman"/>
        </w:rPr>
        <w:t>podmiot prowadzący działalność gospodarczą b</w:t>
      </w:r>
      <w:r w:rsidR="00504176" w:rsidRPr="00316167">
        <w:rPr>
          <w:rFonts w:ascii="Lato" w:hAnsi="Lato" w:cs="Times New Roman"/>
        </w:rPr>
        <w:t xml:space="preserve">ez względu na jego formę prawną oraz źródła finansowania oraz bez względu na to, czy przepisy </w:t>
      </w:r>
      <w:r w:rsidR="00CF64B2" w:rsidRPr="00316167">
        <w:rPr>
          <w:rFonts w:ascii="Lato" w:hAnsi="Lato" w:cs="Times New Roman"/>
        </w:rPr>
        <w:t xml:space="preserve">prawa polskiego przyznają takiemu podmiotowi status przedsiębiorcy. </w:t>
      </w:r>
    </w:p>
    <w:p w:rsidR="00D52498" w:rsidRPr="0027283A" w:rsidRDefault="00D52498" w:rsidP="0053655F">
      <w:pPr>
        <w:rPr>
          <w:rFonts w:ascii="Lato" w:hAnsi="Lato"/>
        </w:rPr>
      </w:pPr>
    </w:p>
    <w:p w:rsidR="00CF64B2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Przyjęty w ustawie </w:t>
      </w:r>
      <w:proofErr w:type="spellStart"/>
      <w:r w:rsidRPr="00743E88">
        <w:rPr>
          <w:rFonts w:ascii="Lato" w:hAnsi="Lato"/>
        </w:rPr>
        <w:t>przekształceniowej</w:t>
      </w:r>
      <w:proofErr w:type="spellEnd"/>
      <w:r w:rsidRPr="00743E88">
        <w:rPr>
          <w:rFonts w:ascii="Lato" w:hAnsi="Lato"/>
        </w:rPr>
        <w:t xml:space="preserve"> sposób ustalania odpłat</w:t>
      </w:r>
      <w:r w:rsidR="00743E88">
        <w:rPr>
          <w:rFonts w:ascii="Lato" w:hAnsi="Lato"/>
        </w:rPr>
        <w:t>ności za przekształcenie tj. 20 </w:t>
      </w:r>
      <w:r w:rsidRPr="00743E88">
        <w:rPr>
          <w:rFonts w:ascii="Lato" w:hAnsi="Lato"/>
        </w:rPr>
        <w:t>opłat rocznych (art. 7 ust. 6 ustawy) wiążę si</w:t>
      </w:r>
      <w:r w:rsidR="00B72D6A">
        <w:rPr>
          <w:rFonts w:ascii="Lato" w:hAnsi="Lato"/>
        </w:rPr>
        <w:t>ę</w:t>
      </w:r>
      <w:r w:rsidRPr="00743E88">
        <w:rPr>
          <w:rFonts w:ascii="Lato" w:hAnsi="Lato"/>
        </w:rPr>
        <w:t xml:space="preserve"> z uzyskaniem korzyści przez podmioty </w:t>
      </w:r>
      <w:r w:rsidR="00CF64B2">
        <w:rPr>
          <w:rFonts w:ascii="Lato" w:hAnsi="Lato"/>
        </w:rPr>
        <w:t>,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prowadzące działalność gospodarczą. Własność gruntu nabywana jest bowiem na warunkach preferencyjnych –za cenę niższą niż cena rynkowa, co powoduje, że przedsi</w:t>
      </w:r>
      <w:r w:rsidR="00B72D6A">
        <w:rPr>
          <w:rFonts w:ascii="Lato" w:hAnsi="Lato"/>
        </w:rPr>
        <w:t>ę</w:t>
      </w:r>
      <w:r w:rsidRPr="00743E88">
        <w:rPr>
          <w:rFonts w:ascii="Lato" w:hAnsi="Lato"/>
        </w:rPr>
        <w:t xml:space="preserve">biorca uzyskuje pomoc publiczną w wysokości stanowiącej  różnicę pomiędzy wartością rynkową gruntu, a sumą opłat </w:t>
      </w:r>
      <w:proofErr w:type="spellStart"/>
      <w:r w:rsidRPr="00743E88">
        <w:rPr>
          <w:rFonts w:ascii="Lato" w:hAnsi="Lato"/>
        </w:rPr>
        <w:t>przekształceniowych</w:t>
      </w:r>
      <w:proofErr w:type="spellEnd"/>
      <w:r w:rsidRPr="00743E88">
        <w:rPr>
          <w:rFonts w:ascii="Lato" w:hAnsi="Lato"/>
        </w:rPr>
        <w:t xml:space="preserve">. 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Pomoc publiczna wyliczona w taki sposób może by</w:t>
      </w:r>
      <w:r w:rsidR="00B72D6A">
        <w:rPr>
          <w:rFonts w:ascii="Lato" w:hAnsi="Lato"/>
        </w:rPr>
        <w:t>ć</w:t>
      </w:r>
      <w:r w:rsidRPr="00743E88">
        <w:rPr>
          <w:rFonts w:ascii="Lato" w:hAnsi="Lato"/>
        </w:rPr>
        <w:t xml:space="preserve"> udzielona pod warunkiem, że przedsi</w:t>
      </w:r>
      <w:r w:rsidR="00B72D6A">
        <w:rPr>
          <w:rFonts w:ascii="Lato" w:hAnsi="Lato"/>
        </w:rPr>
        <w:t>ę</w:t>
      </w:r>
      <w:r w:rsidRPr="00743E88">
        <w:rPr>
          <w:rFonts w:ascii="Lato" w:hAnsi="Lato"/>
        </w:rPr>
        <w:t>biorca spełni wszystkie warunki wynikaj</w:t>
      </w:r>
      <w:r w:rsidR="00B72D6A">
        <w:rPr>
          <w:rFonts w:ascii="Lato" w:hAnsi="Lato"/>
        </w:rPr>
        <w:t>ą</w:t>
      </w:r>
      <w:r w:rsidRPr="00743E88">
        <w:rPr>
          <w:rFonts w:ascii="Lato" w:hAnsi="Lato"/>
        </w:rPr>
        <w:t>ce z Rozporządzenia Kom</w:t>
      </w:r>
      <w:r w:rsidR="00743E88">
        <w:rPr>
          <w:rFonts w:ascii="Lato" w:hAnsi="Lato"/>
        </w:rPr>
        <w:t>isji (UE) nr 1407/2013, w tym w </w:t>
      </w:r>
      <w:r w:rsidRPr="00743E88">
        <w:rPr>
          <w:rFonts w:ascii="Lato" w:hAnsi="Lato"/>
        </w:rPr>
        <w:t xml:space="preserve">szczególności, warunek nieprzekroczenia limitu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>, który dla jednego przedsi</w:t>
      </w:r>
      <w:r w:rsidR="00B72D6A">
        <w:rPr>
          <w:rFonts w:ascii="Lato" w:hAnsi="Lato"/>
        </w:rPr>
        <w:t>ę</w:t>
      </w:r>
      <w:r w:rsidRPr="00743E88">
        <w:rPr>
          <w:rFonts w:ascii="Lato" w:hAnsi="Lato"/>
        </w:rPr>
        <w:t xml:space="preserve">biorcy  wynosi  200 tys. euro brutto w okresie 3 kolejnych lat podatkowych oraz 100 tys. </w:t>
      </w:r>
      <w:r w:rsidRPr="00743E88">
        <w:rPr>
          <w:rFonts w:ascii="Lato" w:hAnsi="Lato"/>
        </w:rPr>
        <w:lastRenderedPageBreak/>
        <w:t>euro brutto w odniesieniu do jednego przedsiębiorcy prowadzącego działalność w sektorze transportu drogowego towarów.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W przypadku przekroczenia limitu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stosuje się dopłatę do wysokości wartości rynkowej nieruchomości określonej na dzień przekształcenia. Wysokość dopłaty ustalana jest z urzędu w drodze decyzji. Koszty operatu szacunkowego ponosi zobowiązany do dopłaty (art. 14 ust. 2 ustawy). Taka sytuacja będzie miała miejsce, kiedy organ udzielający pomocy ustalając odpłatność za przekształcenie – 20 rocznych opłat </w:t>
      </w:r>
      <w:proofErr w:type="spellStart"/>
      <w:r w:rsidRPr="00743E88">
        <w:rPr>
          <w:rFonts w:ascii="Lato" w:hAnsi="Lato"/>
        </w:rPr>
        <w:t>przekształceniowych</w:t>
      </w:r>
      <w:proofErr w:type="spellEnd"/>
      <w:r w:rsidRPr="00743E88">
        <w:rPr>
          <w:rFonts w:ascii="Lato" w:hAnsi="Lato"/>
        </w:rPr>
        <w:t xml:space="preserve"> stwierdzi, że udzielenie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jest niemożliwe z powodu przekroczenia jej limitu. Będą to m.in. </w:t>
      </w:r>
      <w:r w:rsidR="00316167">
        <w:rPr>
          <w:rFonts w:ascii="Lato" w:hAnsi="Lato"/>
        </w:rPr>
        <w:t>przypadki, kiedy przedsiębiorca: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1) wykorzystał już cały dostępny limit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="00316167">
        <w:rPr>
          <w:rFonts w:ascii="Lato" w:hAnsi="Lato"/>
        </w:rPr>
        <w:t>,</w:t>
      </w:r>
      <w:bookmarkStart w:id="0" w:name="_GoBack"/>
      <w:bookmarkEnd w:id="0"/>
      <w:r w:rsidRPr="00743E88">
        <w:rPr>
          <w:rFonts w:ascii="Lato" w:hAnsi="Lato"/>
        </w:rPr>
        <w:t xml:space="preserve"> albo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2) wykorzystał ten limit częściowo lub posiada cały dostępny limit, ale wartość korzyści wynikającej z ustalenia wysokości opłat </w:t>
      </w:r>
      <w:proofErr w:type="spellStart"/>
      <w:r w:rsidRPr="00743E88">
        <w:rPr>
          <w:rFonts w:ascii="Lato" w:hAnsi="Lato"/>
        </w:rPr>
        <w:t>przekształceniowych</w:t>
      </w:r>
      <w:proofErr w:type="spellEnd"/>
      <w:r w:rsidRPr="00743E88">
        <w:rPr>
          <w:rFonts w:ascii="Lato" w:hAnsi="Lato"/>
        </w:rPr>
        <w:t xml:space="preserve">, przewyższa wartość możliwej do udzielenia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="00316167">
        <w:rPr>
          <w:rFonts w:ascii="Lato" w:hAnsi="Lato"/>
        </w:rPr>
        <w:t>, albo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3) nie spełnia warunków dopuszczalności z Rozporządzenia Komisji (UE) nr 1407/2013. 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Właściciel gruntu będący przedsiębiorcą w odniesieniu do nieruchomości wykorzystywanej do prowadzenia działalności gospodarczej, </w:t>
      </w:r>
      <w:r w:rsidRPr="00743E88">
        <w:rPr>
          <w:rFonts w:ascii="Lato" w:hAnsi="Lato"/>
          <w:u w:val="single"/>
        </w:rPr>
        <w:t>może w terminie 3 miesięcy od dnia przekształcenia</w:t>
      </w:r>
      <w:r w:rsidRPr="00743E88">
        <w:rPr>
          <w:rFonts w:ascii="Lato" w:hAnsi="Lato"/>
        </w:rPr>
        <w:t xml:space="preserve"> złożyć właściwemu organowi oświadczenie o zamiarze wnoszenia opłaty </w:t>
      </w:r>
      <w:proofErr w:type="spellStart"/>
      <w:r w:rsidRPr="00743E88">
        <w:rPr>
          <w:rFonts w:ascii="Lato" w:hAnsi="Lato"/>
        </w:rPr>
        <w:t>przekształceniowej</w:t>
      </w:r>
      <w:proofErr w:type="spellEnd"/>
      <w:r w:rsidRPr="00743E88">
        <w:rPr>
          <w:rFonts w:ascii="Lato" w:hAnsi="Lato"/>
        </w:rPr>
        <w:t xml:space="preserve"> przez okres dłuższy, t</w:t>
      </w:r>
      <w:r w:rsidR="00B72D6A">
        <w:rPr>
          <w:rFonts w:ascii="Lato" w:hAnsi="Lato"/>
        </w:rPr>
        <w:t xml:space="preserve">o </w:t>
      </w:r>
      <w:r w:rsidRPr="00743E88">
        <w:rPr>
          <w:rFonts w:ascii="Lato" w:hAnsi="Lato"/>
        </w:rPr>
        <w:t>j</w:t>
      </w:r>
      <w:r w:rsidR="00B72D6A">
        <w:rPr>
          <w:rFonts w:ascii="Lato" w:hAnsi="Lato"/>
        </w:rPr>
        <w:t>est</w:t>
      </w:r>
      <w:r w:rsidRPr="00743E88">
        <w:rPr>
          <w:rFonts w:ascii="Lato" w:hAnsi="Lato"/>
        </w:rPr>
        <w:t>: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1) 99 lat – licząc od dnia przekształcenia, jeżeli stawka procentowa opłaty rocznej z tytułu użytkowania wieczystego wynosi 1% 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albo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2) 50 lat – licząc od dnia przekształcenia, jeżeli stawka procentowa opłaty rocznej z tytułu użytkowania wieczystego wynosi 2% 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albo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3) 33 lat – licząc od dnia przekształcenia, jeżeli stawka procentowa opłaty rocznej z tytułu użytkowania wieczystego wynosi 3% 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albo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4) w którym suma opłat nie przekroczy wartości rynkowej nieruchomości stanowiącej podstawę ustalenia opłaty rocznej z tytułu użytkowania wieczystego – jeżeli stawka procentowa opłaty rocznej z tytułu użytkowania jest wyższa niż 3%. 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Wprowadzony przepis (art. 7 ust 6a ustawy) umożliwia wybór systemu płatności za przekształcenie pomiędzy: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1) zasadą 20 rat opłaty </w:t>
      </w:r>
      <w:proofErr w:type="spellStart"/>
      <w:r w:rsidRPr="00743E88">
        <w:rPr>
          <w:rFonts w:ascii="Lato" w:hAnsi="Lato"/>
        </w:rPr>
        <w:t>przekształceniowej</w:t>
      </w:r>
      <w:proofErr w:type="spellEnd"/>
      <w:r w:rsidRPr="00743E88">
        <w:rPr>
          <w:rFonts w:ascii="Lato" w:hAnsi="Lato"/>
        </w:rPr>
        <w:t xml:space="preserve">  i ewentualną dopłatą w przypadku przekroczenia limitu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albo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2) zasadą opartą o płatność długoterminową przez okres od 33 do 99 lat, licząc od dnia przekształcenia, w zależności od wysokości stawki procentowej opłaty rocznej. 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Tryb dokonywania odpłatności za przekształcenie wynikający z art. 7 ust. 6a ustawy pozwala uniknąć stosowania przepisów o pomocy publicznej, albowiem za prawo własności gruntu przedsiębiorca zapłaci wartość rynkową.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Właściciel gruntu będący przedsiębiorcą w okresie pozostałym do wnoszenia opłaty w każdym czasie (przy uwzględnieniu przepisów o pomocy publicznej) może zdecydować się na zmianę sposobu płatności (np. z długoterminowego na krótszy) i w takiej sytuacji może złożyć nowe </w:t>
      </w:r>
      <w:r w:rsidRPr="00743E88">
        <w:rPr>
          <w:rFonts w:ascii="Lato" w:hAnsi="Lato"/>
        </w:rPr>
        <w:lastRenderedPageBreak/>
        <w:t>oświadczenie o zamiarze wnoszenia opłaty z uwzględnieniem dotychczas wniesionych opłat. (art. 7 ust. 6b ustawy).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Właściwy organ w terminie 30 dni od dnia złożenia nowego oświadczenia powinien wydać zaświadczenie potwierdzające wysokość i okres pozostały do wnoszenia opłaty.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 W praktyce zatem nawet kilka lat po przekształceniu, z uwagi na zmianę sytuacji finansowej, przedsiębiorca będzie mógł wybrać inny sposób płatności aniżeli ten, który wybrał bezpośrednio po przekształceniu.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Jeżeli przedsiębiorca dokona zbycia nieruchomości w okresie wnoszenia opłaty </w:t>
      </w:r>
      <w:proofErr w:type="spellStart"/>
      <w:r w:rsidRPr="00743E88">
        <w:rPr>
          <w:rFonts w:ascii="Lato" w:hAnsi="Lato"/>
        </w:rPr>
        <w:t>przekształceniowej</w:t>
      </w:r>
      <w:proofErr w:type="spellEnd"/>
      <w:r w:rsidRPr="00743E88">
        <w:rPr>
          <w:rFonts w:ascii="Lato" w:hAnsi="Lato"/>
        </w:rPr>
        <w:t xml:space="preserve"> to nabywca takiej nieruchomości będący również przedsiębiorcą nie jest związany wcześniej ustalonym systemem płatności. Może on  złożyć nowe oświadczenie w tym zakresie, co oznacza, że będzie mógł kontynuować płatność przez dłuższy okres, w celu uniknięcia obowiązku dopłaty wynikającej z przekroczenia limitu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(art. 11 ust. a ustawy).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W celu zapewnienia zgodności udzielanej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z przepisami unijnymi przedsiębiorca, którego dotyczy przekształcenie  zobowiązany jest do przedłożenia następujących dokumentów: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• wszystkich zaświadczeń o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i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w </w:t>
      </w:r>
      <w:r w:rsidR="00743E88">
        <w:rPr>
          <w:rFonts w:ascii="Lato" w:hAnsi="Lato"/>
        </w:rPr>
        <w:t>rolnictwie i w </w:t>
      </w:r>
      <w:r w:rsidRPr="00743E88">
        <w:rPr>
          <w:rFonts w:ascii="Lato" w:hAnsi="Lato"/>
        </w:rPr>
        <w:t>rybołówstwie jakie otrzymał w roku, w którym ubi</w:t>
      </w:r>
      <w:r w:rsidR="00743E88">
        <w:rPr>
          <w:rFonts w:ascii="Lato" w:hAnsi="Lato"/>
        </w:rPr>
        <w:t>ega się o pomoc, oraz w ciągu 2 </w:t>
      </w:r>
      <w:r w:rsidRPr="00743E88">
        <w:rPr>
          <w:rFonts w:ascii="Lato" w:hAnsi="Lato"/>
        </w:rPr>
        <w:t>poprzedzających go lat lub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• oświadczenia o wielkości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i pom</w:t>
      </w:r>
      <w:r w:rsidR="00743E88">
        <w:rPr>
          <w:rFonts w:ascii="Lato" w:hAnsi="Lato"/>
        </w:rPr>
        <w:t xml:space="preserve">ocy de </w:t>
      </w:r>
      <w:proofErr w:type="spellStart"/>
      <w:r w:rsidR="00743E88">
        <w:rPr>
          <w:rFonts w:ascii="Lato" w:hAnsi="Lato"/>
        </w:rPr>
        <w:t>minimis</w:t>
      </w:r>
      <w:proofErr w:type="spellEnd"/>
      <w:r w:rsidR="00743E88">
        <w:rPr>
          <w:rFonts w:ascii="Lato" w:hAnsi="Lato"/>
        </w:rPr>
        <w:t xml:space="preserve"> w rolnictwie i w </w:t>
      </w:r>
      <w:r w:rsidRPr="00743E88">
        <w:rPr>
          <w:rFonts w:ascii="Lato" w:hAnsi="Lato"/>
        </w:rPr>
        <w:t>rybołówstwie otrzymanej w tym okresie, albo oświadczenia  o nieotrzymaniu takiej pomocy w tym okresie,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• informacji, których zakres i formę przekazywania określa </w:t>
      </w:r>
      <w:r w:rsidR="00743E88">
        <w:rPr>
          <w:rFonts w:ascii="Lato" w:hAnsi="Lato"/>
        </w:rPr>
        <w:t>rozporządzenie Rady Ministrów z </w:t>
      </w:r>
      <w:r w:rsidRPr="00743E88">
        <w:rPr>
          <w:rFonts w:ascii="Lato" w:hAnsi="Lato"/>
        </w:rPr>
        <w:t xml:space="preserve">dnia 29 marca 2010 r. w sprawie zakresu informacji przedstawianych przez podmiot ubiegający się o pomoc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(Dz. U. Nr 53, poz. 311 z </w:t>
      </w:r>
      <w:proofErr w:type="spellStart"/>
      <w:r w:rsidRPr="00743E88">
        <w:rPr>
          <w:rFonts w:ascii="Lato" w:hAnsi="Lato"/>
        </w:rPr>
        <w:t>późn</w:t>
      </w:r>
      <w:proofErr w:type="spellEnd"/>
      <w:r w:rsidRPr="00743E88">
        <w:rPr>
          <w:rFonts w:ascii="Lato" w:hAnsi="Lato"/>
        </w:rPr>
        <w:t>. zm.).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Dniem udzielenia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 jest dzień wystawienia zaświadczenia potwierdzającego przekształcenie lub dzień wystawienia zaświadczenia, o którym mowa w art. 11 ust. 1 ustawy. Na ten dzień badane jest spełnienie przesłanek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i z tą datą wystawiane jest również zaświadczenie o pomocy de </w:t>
      </w:r>
      <w:proofErr w:type="spellStart"/>
      <w:r w:rsidRPr="00743E88">
        <w:rPr>
          <w:rFonts w:ascii="Lato" w:hAnsi="Lato"/>
        </w:rPr>
        <w:t>minimis</w:t>
      </w:r>
      <w:proofErr w:type="spellEnd"/>
      <w:r w:rsidRPr="00743E88">
        <w:rPr>
          <w:rFonts w:ascii="Lato" w:hAnsi="Lato"/>
        </w:rPr>
        <w:t xml:space="preserve"> na podstawie </w:t>
      </w:r>
      <w:r w:rsidR="00743E88">
        <w:rPr>
          <w:rFonts w:ascii="Lato" w:hAnsi="Lato"/>
        </w:rPr>
        <w:t>Rozporządzenia Rady Ministrów z </w:t>
      </w:r>
      <w:r w:rsidRPr="00743E88">
        <w:rPr>
          <w:rFonts w:ascii="Lato" w:hAnsi="Lato"/>
        </w:rPr>
        <w:t>dnia 20 marca 2007 r. w sprawie zaświadczeń o pomocy d</w:t>
      </w:r>
      <w:r w:rsidR="00743E88">
        <w:rPr>
          <w:rFonts w:ascii="Lato" w:hAnsi="Lato"/>
        </w:rPr>
        <w:t xml:space="preserve">e </w:t>
      </w:r>
      <w:proofErr w:type="spellStart"/>
      <w:r w:rsidR="00743E88">
        <w:rPr>
          <w:rFonts w:ascii="Lato" w:hAnsi="Lato"/>
        </w:rPr>
        <w:t>minimis</w:t>
      </w:r>
      <w:proofErr w:type="spellEnd"/>
      <w:r w:rsidR="00743E88">
        <w:rPr>
          <w:rFonts w:ascii="Lato" w:hAnsi="Lato"/>
        </w:rPr>
        <w:t xml:space="preserve"> i pomocy de </w:t>
      </w:r>
      <w:proofErr w:type="spellStart"/>
      <w:r w:rsidR="00743E88">
        <w:rPr>
          <w:rFonts w:ascii="Lato" w:hAnsi="Lato"/>
        </w:rPr>
        <w:t>minimis</w:t>
      </w:r>
      <w:proofErr w:type="spellEnd"/>
      <w:r w:rsidR="00743E88">
        <w:rPr>
          <w:rFonts w:ascii="Lato" w:hAnsi="Lato"/>
        </w:rPr>
        <w:t xml:space="preserve"> w </w:t>
      </w:r>
      <w:r w:rsidRPr="00743E88">
        <w:rPr>
          <w:rFonts w:ascii="Lato" w:hAnsi="Lato"/>
        </w:rPr>
        <w:t>rolnictwie lub rybołówstwie (tekst. jedn. Dz.U. z 2018 r. poz. 350).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Dodatkowe informacje na temat przekształcenia prawa użytkowania wieczystego gruntów zabudowanych na cele mieszkaniowe w prawo własności tych gruntów zawarte są na stronach: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http://www.bip.krakow.pl/?news_id=104737 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https://www.miir.gov.pl/strony/zadania/gospodarka-nieruchomosciami/przeksztalcenie/ 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>https://www.uokik.gov.pl/wyjasnienia2.php#faq3563</w:t>
      </w:r>
    </w:p>
    <w:p w:rsidR="0053655F" w:rsidRPr="00743E88" w:rsidRDefault="0053655F" w:rsidP="0053655F">
      <w:pPr>
        <w:rPr>
          <w:rFonts w:ascii="Lato" w:hAnsi="Lato"/>
        </w:rPr>
      </w:pPr>
      <w:r w:rsidRPr="00743E88">
        <w:rPr>
          <w:rFonts w:ascii="Lato" w:hAnsi="Lato"/>
        </w:rPr>
        <w:t xml:space="preserve"> </w:t>
      </w: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</w:p>
    <w:p w:rsidR="0053655F" w:rsidRPr="00743E88" w:rsidRDefault="0053655F" w:rsidP="0053655F">
      <w:pPr>
        <w:rPr>
          <w:rFonts w:ascii="Lato" w:hAnsi="Lato"/>
        </w:rPr>
      </w:pPr>
    </w:p>
    <w:p w:rsidR="00907CE7" w:rsidRPr="00743E88" w:rsidRDefault="006650FF">
      <w:pPr>
        <w:rPr>
          <w:rFonts w:ascii="Lato" w:hAnsi="Lato"/>
        </w:rPr>
      </w:pPr>
    </w:p>
    <w:sectPr w:rsidR="00907CE7" w:rsidRPr="0074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5F"/>
    <w:rsid w:val="00201215"/>
    <w:rsid w:val="0027283A"/>
    <w:rsid w:val="00316167"/>
    <w:rsid w:val="00416FF4"/>
    <w:rsid w:val="00504176"/>
    <w:rsid w:val="0053655F"/>
    <w:rsid w:val="006650FF"/>
    <w:rsid w:val="00743E88"/>
    <w:rsid w:val="00B72D6A"/>
    <w:rsid w:val="00B90987"/>
    <w:rsid w:val="00C7179E"/>
    <w:rsid w:val="00CF64B2"/>
    <w:rsid w:val="00D52498"/>
    <w:rsid w:val="00D84B34"/>
    <w:rsid w:val="00E6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B696-1CC9-4C2E-9E9F-57367E40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5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Radzikowska Marzena</dc:creator>
  <cp:keywords/>
  <dc:description/>
  <cp:lastModifiedBy>Radzikowska Marzena</cp:lastModifiedBy>
  <cp:revision>2</cp:revision>
  <dcterms:created xsi:type="dcterms:W3CDTF">2019-03-27T11:55:00Z</dcterms:created>
  <dcterms:modified xsi:type="dcterms:W3CDTF">2019-03-27T11:55:00Z</dcterms:modified>
</cp:coreProperties>
</file>