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0" w:rsidRPr="00DC6E45" w:rsidRDefault="00DC6E45">
      <w:pPr>
        <w:rPr>
          <w:b/>
        </w:rPr>
      </w:pPr>
      <w:bookmarkStart w:id="0" w:name="_GoBack"/>
      <w:bookmarkEnd w:id="0"/>
      <w:r w:rsidRPr="00DC6E45">
        <w:rPr>
          <w:b/>
        </w:rPr>
        <w:t>Plan  Budżetowy  na  rok  2016.</w:t>
      </w:r>
    </w:p>
    <w:p w:rsidR="00DC6E45" w:rsidRPr="00DC6E45" w:rsidRDefault="00DC6E45">
      <w:pPr>
        <w:rPr>
          <w:b/>
        </w:rPr>
      </w:pPr>
    </w:p>
    <w:p w:rsidR="00DC6E45" w:rsidRDefault="00DC6E45">
      <w:r>
        <w:t xml:space="preserve">Dochody     100 000 zł.  </w:t>
      </w:r>
    </w:p>
    <w:p w:rsidR="00DC6E45" w:rsidRDefault="00DC6E45">
      <w:r>
        <w:t>Wydatki   7 878 100 zł.</w:t>
      </w:r>
    </w:p>
    <w:p w:rsidR="00DC6E45" w:rsidRDefault="00DC6E45" w:rsidP="00DC6E45">
      <w:r>
        <w:t>Dochody gromadzone na wydzielonym rachunku z tytułu Uchwały Nr CXIV/1537//2010 Rady Miasta Krakowa z dnia 20.10.2010r.     95 000 zł.</w:t>
      </w:r>
    </w:p>
    <w:p w:rsidR="00DC6E45" w:rsidRDefault="00DC6E45"/>
    <w:sectPr w:rsidR="00DC6E45" w:rsidSect="00D3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45"/>
    <w:rsid w:val="00277FDA"/>
    <w:rsid w:val="002D3FDA"/>
    <w:rsid w:val="0034272C"/>
    <w:rsid w:val="00781FA4"/>
    <w:rsid w:val="00B17447"/>
    <w:rsid w:val="00D32940"/>
    <w:rsid w:val="00D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SOSW4</dc:creator>
  <cp:lastModifiedBy>Ewa Thomas</cp:lastModifiedBy>
  <cp:revision>2</cp:revision>
  <dcterms:created xsi:type="dcterms:W3CDTF">2016-05-23T20:52:00Z</dcterms:created>
  <dcterms:modified xsi:type="dcterms:W3CDTF">2016-05-23T20:52:00Z</dcterms:modified>
</cp:coreProperties>
</file>