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202BDD" w:rsidRDefault="00B719AF" w:rsidP="003850E3"/>
          <w:p w:rsidR="00B719AF" w:rsidRPr="00202BDD" w:rsidRDefault="00017150" w:rsidP="003850E3"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  <w:p w:rsidR="00B719AF" w:rsidRPr="00202BDD" w:rsidRDefault="00B719AF" w:rsidP="003850E3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7C33BE" w:rsidRDefault="00085CB4" w:rsidP="00A42121">
            <w:pPr>
              <w:jc w:val="both"/>
              <w:rPr>
                <w:b/>
                <w:bCs/>
                <w:sz w:val="22"/>
                <w:szCs w:val="22"/>
              </w:rPr>
            </w:pPr>
            <w:r w:rsidRPr="007C33BE">
              <w:rPr>
                <w:b/>
                <w:sz w:val="22"/>
                <w:szCs w:val="22"/>
              </w:rPr>
              <w:t xml:space="preserve">XXIV Tydzień Osób Niepełnosprawnych Kocham Kraków z Wzajemnością - </w:t>
            </w:r>
            <w:proofErr w:type="spellStart"/>
            <w:r w:rsidRPr="007C33BE">
              <w:rPr>
                <w:b/>
                <w:sz w:val="22"/>
                <w:szCs w:val="22"/>
              </w:rPr>
              <w:t>Regranting</w:t>
            </w:r>
            <w:proofErr w:type="spellEnd"/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/>
          <w:p w:rsidR="00017150" w:rsidRPr="00202BDD" w:rsidRDefault="00017150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lastRenderedPageBreak/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lastRenderedPageBreak/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655DB2" w:rsidRDefault="00DC5822" w:rsidP="00DC5822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DC5822" w:rsidRPr="00524559" w:rsidRDefault="00DC5822" w:rsidP="00DC5822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>
              <w:rPr>
                <w:i/>
                <w:color w:val="000000" w:themeColor="text1"/>
              </w:rPr>
              <w:t xml:space="preserve">5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&gt;5%</w:t>
            </w:r>
          </w:p>
          <w:p w:rsidR="00017150" w:rsidRPr="00393330" w:rsidRDefault="00017150" w:rsidP="00DC5822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C5822" w:rsidRPr="00785159" w:rsidRDefault="00DC5822" w:rsidP="00DC5822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DC5822" w:rsidRPr="00785159" w:rsidRDefault="00DC5822" w:rsidP="00DC5822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10 % </w:t>
            </w:r>
            <w:r w:rsidRPr="00785159">
              <w:t>wkład  – 1 pkt,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t>dodatkowe punkty za wkład powyżej &gt;10%</w:t>
            </w:r>
          </w:p>
          <w:p w:rsidR="00DC5822" w:rsidRPr="00785159" w:rsidRDefault="00DC5822" w:rsidP="00DC5822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</w:t>
            </w:r>
            <w:r w:rsidR="00CD3C60">
              <w:rPr>
                <w:color w:val="000000" w:themeColor="text1"/>
              </w:rPr>
              <w:t>9</w:t>
            </w:r>
            <w:r w:rsidRPr="001616AE">
              <w:rPr>
                <w:color w:val="000000" w:themeColor="text1"/>
              </w:rPr>
              <w:t xml:space="preserve"> – 202</w:t>
            </w:r>
            <w:r w:rsidR="00CD3C60">
              <w:rPr>
                <w:color w:val="000000" w:themeColor="text1"/>
              </w:rPr>
              <w:t>2</w:t>
            </w:r>
            <w:r w:rsidRPr="001616AE">
              <w:rPr>
                <w:color w:val="000000" w:themeColor="text1"/>
              </w:rPr>
              <w:t xml:space="preserve">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CD3C60">
            <w:pPr>
              <w:jc w:val="center"/>
            </w:pPr>
            <w:r>
              <w:t xml:space="preserve">od 0 pkt do </w:t>
            </w:r>
            <w:r w:rsidR="00CD3C60">
              <w:t>5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420DB4" w:rsidRDefault="00420DB4" w:rsidP="00CD3C60">
      <w:bookmarkStart w:id="0" w:name="_GoBack"/>
      <w:bookmarkEnd w:id="0"/>
    </w:p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53"/>
    <w:rsid w:val="00017150"/>
    <w:rsid w:val="00085CB4"/>
    <w:rsid w:val="0018021B"/>
    <w:rsid w:val="002C25B2"/>
    <w:rsid w:val="00393330"/>
    <w:rsid w:val="00420DB4"/>
    <w:rsid w:val="004853CC"/>
    <w:rsid w:val="00645AF6"/>
    <w:rsid w:val="007C33BE"/>
    <w:rsid w:val="00882053"/>
    <w:rsid w:val="00903612"/>
    <w:rsid w:val="009779C4"/>
    <w:rsid w:val="009D5242"/>
    <w:rsid w:val="00A42121"/>
    <w:rsid w:val="00B719AF"/>
    <w:rsid w:val="00CD3C60"/>
    <w:rsid w:val="00DC5822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D23D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Byszewska Beata</cp:lastModifiedBy>
  <cp:revision>2</cp:revision>
  <dcterms:created xsi:type="dcterms:W3CDTF">2023-02-14T10:59:00Z</dcterms:created>
  <dcterms:modified xsi:type="dcterms:W3CDTF">2023-02-14T10:59:00Z</dcterms:modified>
</cp:coreProperties>
</file>