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jc w:val="center"/>
        <w:rPr>
          <w:b/>
        </w:rPr>
      </w:pPr>
      <w:r>
        <w:rPr>
          <w:b/>
        </w:rPr>
        <w:t>ZESTAWIENIE WARUNKÓW I PARAMETRÓW WYMAGANYCH</w:t>
      </w:r>
    </w:p>
    <w:p>
      <w:pPr>
        <w:pStyle w:val="style0"/>
        <w:rPr>
          <w:b/>
        </w:rPr>
      </w:pPr>
      <w:r>
        <w:rPr>
          <w:b/>
        </w:rPr>
      </w:r>
    </w:p>
    <w:p>
      <w:pPr>
        <w:pStyle w:val="style0"/>
        <w:rPr>
          <w:b/>
        </w:rPr>
      </w:pPr>
      <w:r>
        <w:rPr>
          <w:b/>
        </w:rPr>
        <w:t>Grupa 7 – lampa bezcieniowa  – 5 sztuk</w:t>
      </w:r>
    </w:p>
    <w:p>
      <w:pPr>
        <w:pStyle w:val="style0"/>
        <w:rPr/>
      </w:pPr>
      <w:r>
        <w:rPr/>
        <w:t>Nazwa oferenta:…………………………………………….</w:t>
      </w:r>
    </w:p>
    <w:p>
      <w:pPr>
        <w:pStyle w:val="style0"/>
        <w:rPr/>
      </w:pPr>
      <w:r>
        <w:rPr/>
        <w:t>Producent……………………………………………………..</w:t>
      </w:r>
    </w:p>
    <w:p>
      <w:pPr>
        <w:pStyle w:val="style0"/>
        <w:rPr/>
      </w:pPr>
      <w:r>
        <w:rPr/>
        <w:t>Nazwa i typ:………………………………………………….</w:t>
      </w:r>
    </w:p>
    <w:p>
      <w:pPr>
        <w:pStyle w:val="style0"/>
        <w:rPr>
          <w:b/>
        </w:rPr>
      </w:pPr>
      <w:r>
        <w:rPr/>
        <w:t xml:space="preserve">Rok produkcji: </w:t>
      </w:r>
      <w:r>
        <w:rPr>
          <w:b/>
        </w:rPr>
        <w:t>2018</w:t>
      </w:r>
    </w:p>
    <w:p>
      <w:pPr>
        <w:pStyle w:val="style0"/>
        <w:rPr>
          <w:b/>
        </w:rPr>
      </w:pPr>
      <w:r>
        <w:rPr>
          <w:b/>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44"/>
        <w:gridCol w:w="3452"/>
        <w:gridCol w:w="2234"/>
        <w:gridCol w:w="2212"/>
      </w:tblGrid>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b/>
                <w:sz w:val="18"/>
                <w:szCs w:val="18"/>
              </w:rPr>
            </w:pPr>
            <w:r>
              <w:rPr>
                <w:b/>
                <w:sz w:val="18"/>
                <w:szCs w:val="18"/>
              </w:rPr>
            </w:r>
          </w:p>
          <w:p>
            <w:pPr>
              <w:pStyle w:val="style0"/>
              <w:spacing w:after="0" w:before="0" w:line="100" w:lineRule="atLeast"/>
              <w:contextualSpacing w:val="false"/>
              <w:jc w:val="center"/>
              <w:rPr>
                <w:b/>
                <w:sz w:val="18"/>
                <w:szCs w:val="18"/>
              </w:rPr>
            </w:pPr>
            <w:r>
              <w:rPr>
                <w:b/>
                <w:sz w:val="18"/>
                <w:szCs w:val="18"/>
              </w:rPr>
              <w:t>L.p.</w:t>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b/>
                <w:sz w:val="18"/>
                <w:szCs w:val="18"/>
              </w:rPr>
            </w:pPr>
            <w:r>
              <w:rPr>
                <w:b/>
                <w:sz w:val="18"/>
                <w:szCs w:val="18"/>
              </w:rPr>
            </w:r>
          </w:p>
          <w:p>
            <w:pPr>
              <w:pStyle w:val="style0"/>
              <w:spacing w:after="0" w:before="0" w:line="100" w:lineRule="atLeast"/>
              <w:contextualSpacing w:val="false"/>
              <w:jc w:val="center"/>
              <w:rPr>
                <w:b/>
                <w:sz w:val="18"/>
                <w:szCs w:val="18"/>
              </w:rPr>
            </w:pPr>
            <w:r>
              <w:rPr>
                <w:b/>
                <w:sz w:val="18"/>
                <w:szCs w:val="18"/>
              </w:rPr>
              <w:t>Warunki ogólne</w:t>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b/>
                <w:sz w:val="18"/>
                <w:szCs w:val="18"/>
              </w:rPr>
            </w:pPr>
            <w:r>
              <w:rPr>
                <w:b/>
                <w:sz w:val="18"/>
                <w:szCs w:val="18"/>
              </w:rPr>
            </w:r>
          </w:p>
          <w:p>
            <w:pPr>
              <w:pStyle w:val="style0"/>
              <w:spacing w:after="0" w:before="0" w:line="100" w:lineRule="atLeast"/>
              <w:contextualSpacing w:val="false"/>
              <w:jc w:val="center"/>
              <w:rPr>
                <w:b/>
                <w:sz w:val="18"/>
                <w:szCs w:val="18"/>
              </w:rPr>
            </w:pPr>
            <w:r>
              <w:rPr>
                <w:b/>
                <w:sz w:val="18"/>
                <w:szCs w:val="18"/>
              </w:rPr>
              <w:t>Parametr wymagany</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b/>
                <w:sz w:val="18"/>
                <w:szCs w:val="18"/>
              </w:rPr>
            </w:pPr>
            <w:r>
              <w:rPr>
                <w:b/>
                <w:sz w:val="18"/>
                <w:szCs w:val="18"/>
              </w:rPr>
            </w:r>
          </w:p>
          <w:p>
            <w:pPr>
              <w:pStyle w:val="style0"/>
              <w:spacing w:after="0" w:before="0" w:line="100" w:lineRule="atLeast"/>
              <w:contextualSpacing w:val="false"/>
              <w:jc w:val="center"/>
              <w:rPr>
                <w:b/>
                <w:sz w:val="18"/>
                <w:szCs w:val="18"/>
              </w:rPr>
            </w:pPr>
            <w:r>
              <w:rPr>
                <w:b/>
                <w:sz w:val="18"/>
                <w:szCs w:val="18"/>
              </w:rPr>
              <w:t>Parametr  oferowany</w:t>
            </w:r>
          </w:p>
          <w:p>
            <w:pPr>
              <w:pStyle w:val="style0"/>
              <w:spacing w:after="0" w:before="0" w:line="100" w:lineRule="atLeast"/>
              <w:contextualSpacing w:val="false"/>
              <w:jc w:val="center"/>
              <w:rPr>
                <w:b/>
                <w:sz w:val="18"/>
                <w:szCs w:val="18"/>
              </w:rPr>
            </w:pPr>
            <w:r>
              <w:rPr>
                <w:b/>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Mobilna lampa zabiegowa.</w:t>
            </w:r>
          </w:p>
          <w:p>
            <w:pPr>
              <w:pStyle w:val="style0"/>
              <w:spacing w:after="0" w:before="0" w:line="100" w:lineRule="atLeast"/>
              <w:contextualSpacing w:val="false"/>
              <w:rPr>
                <w:sz w:val="18"/>
                <w:szCs w:val="18"/>
              </w:rPr>
            </w:pPr>
            <w:r>
              <w:rPr>
                <w:sz w:val="18"/>
                <w:szCs w:val="18"/>
              </w:rPr>
              <w:t>Podać model urządzenia.</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b/>
                <w:sz w:val="18"/>
                <w:szCs w:val="18"/>
              </w:rPr>
            </w:pPr>
            <w:r>
              <w:rPr>
                <w:b/>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Lampa zainstalowana na mobilnym statywie wyposażonym w kółka umożliwiające łatwe przemieszczanie lampy.</w:t>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Kopuła lampy o średnicy  35 cm (+_5 cm)</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Tak/Podać</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Źródło światła lampy: </w:t>
              <w:br/>
              <w:t xml:space="preserve">min. 3 diody (LED)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Tak/Podać</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Trwałość diod min. 30 000 godzin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jc w:val="center"/>
              <w:rPr>
                <w:sz w:val="18"/>
                <w:szCs w:val="18"/>
                <w:lang w:eastAsia="pl-PL"/>
              </w:rPr>
            </w:pPr>
            <w:r>
              <w:rPr>
                <w:sz w:val="18"/>
                <w:szCs w:val="18"/>
                <w:lang w:eastAsia="pl-PL"/>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Wszystkie diody identyczne, emitujące światło białe o jednakowej temperaturze barwowej </w:t>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Ilość diod nie większa niż 10 szt.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 xml:space="preserve">Tak, </w:t>
            </w:r>
            <w:r>
              <w:rPr>
                <w:sz w:val="18"/>
                <w:szCs w:val="18"/>
              </w:rPr>
              <w:t>podać</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Lampa zapewniająca białe światło o neutralnej barwie: </w:t>
              <w:br/>
              <w:t>temperatura barwowa światła lampy Tc około 4500 K (±100 K)</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Lampa zapewniająca wierne odwzorowanie barw: współczynnik oddawania barw lamp Ra min. 95</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Maksymalne natężenie światła Ec lampy  60 000 lux (±10%)</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Możliwość płynnej elektronicznej regulacji natężenia światła lampy w zakresie od 25 % do 100 % Ec lub większym.</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Włączanie lampy oraz regulacja natężenia światła za pomocą </w:t>
            </w:r>
            <w:bookmarkStart w:id="0" w:name="_GoBack"/>
            <w:bookmarkEnd w:id="0"/>
            <w:r>
              <w:rPr>
                <w:sz w:val="18"/>
                <w:szCs w:val="18"/>
              </w:rPr>
              <w:t xml:space="preserve"> pokrętła umieszczonego przy kopule lampy.</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Lampa wyposażona we wskaźnik diodowy ustawionego poziomu natężenia światła (min. 5 diod).</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Średnica pola d10 lampy min. 15 cm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Kopuła lampy wyposażona w uchwyt „sterylny” z wymiennymi rękojeściami, które można sterylizować w sterylizatorach parowych.</w:t>
            </w:r>
          </w:p>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t>W komplecie 2 rękojeści.</w:t>
            </w:r>
          </w:p>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Kopuła lampy wyposażona dodatkowo w min. 2 zintegrowane uchwyty boczne (niesterylne) rozmieszczone na obwodzie kopuły.</w:t>
            </w:r>
          </w:p>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Powierzchnia kopuły łatwa do utrzymania w czystości: gładka, jednorodna, bez widocznych pokryw, śrub lub nitów mocujących.</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p>
            <w:pPr>
              <w:pStyle w:val="style0"/>
              <w:spacing w:after="0" w:before="0" w:line="100" w:lineRule="atLeast"/>
              <w:contextualSpacing w:val="false"/>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Min. dwa kółka statywu wyposażone w blokadę.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W komplecie kabel zasilający o długości min. 5 metrów</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Statyw wyposażony w uchwyt do zawieszenia kabla zasilającego.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tru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Waga lampy wraz ze statywem nie większa niż 20 kg, zapewniająca łatwe manewrowanie lampą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Możliwość podnoszenia kopuły lampy na wysokość min. 200 cm zapewaniającą swobodną pracę personelu pod lampą, tzn. możliwość podniesienia kopuły ponad głowę lekarza (wysokość mierzona od poziomu podłogi do dolnego końca uchwytu sterylnego przy kopule lampy ustawionej poziomo).</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jc w:val="center"/>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 xml:space="preserve">Całkowita wysokość statywu nie większa niż 180 cm, umożliwiająca swobodne przejeżdżanie lampą przez drzwi. </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jc w:val="center"/>
              <w:rPr>
                <w:sz w:val="18"/>
                <w:szCs w:val="18"/>
              </w:rPr>
            </w:pPr>
            <w:r>
              <w:rPr>
                <w:sz w:val="18"/>
                <w:szCs w:val="18"/>
              </w:rPr>
            </w:r>
          </w:p>
          <w:p>
            <w:pPr>
              <w:pStyle w:val="style0"/>
              <w:spacing w:after="0" w:before="0" w:line="100" w:lineRule="atLeast"/>
              <w:contextualSpacing w:val="false"/>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Kopuła lampy zawieszona na wysięgniku z uchylnym ramieniem, umożliwiającym regulację wysokości lampy w zakresie min. 130 cm.</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r>
          </w:p>
        </w:tc>
      </w:tr>
      <w:tr>
        <w:trPr>
          <w:cantSplit w:val="false"/>
        </w:trPr>
        <w:tc>
          <w:tcPr>
            <w:tcW w:type="dxa" w:w="54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7"/>
              <w:numPr>
                <w:ilvl w:val="0"/>
                <w:numId w:val="1"/>
              </w:numPr>
              <w:spacing w:after="0" w:before="0" w:line="100" w:lineRule="atLeast"/>
              <w:contextualSpacing/>
              <w:rPr>
                <w:sz w:val="18"/>
                <w:szCs w:val="18"/>
              </w:rPr>
            </w:pPr>
            <w:r>
              <w:rPr>
                <w:sz w:val="18"/>
                <w:szCs w:val="18"/>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Kopuła lampy wyposażony w min. 2 przeguby umożliwiające pochylanie kopuły.  Obrót w każdym przegubie zakresie min. 270°.</w:t>
            </w:r>
          </w:p>
          <w:p>
            <w:pPr>
              <w:pStyle w:val="style0"/>
              <w:spacing w:after="0" w:before="0" w:line="100" w:lineRule="atLeast"/>
              <w:contextualSpacing w:val="false"/>
              <w:rPr>
                <w:sz w:val="18"/>
                <w:szCs w:val="18"/>
              </w:rPr>
            </w:pPr>
            <w:r>
              <w:rPr>
                <w:sz w:val="18"/>
                <w:szCs w:val="18"/>
              </w:rPr>
            </w:r>
          </w:p>
        </w:tc>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sz w:val="18"/>
                <w:szCs w:val="18"/>
              </w:rPr>
            </w:pPr>
            <w:r>
              <w:rPr>
                <w:sz w:val="18"/>
                <w:szCs w:val="18"/>
              </w:rPr>
              <w:t>Tak</w:t>
            </w:r>
          </w:p>
        </w:tc>
        <w:tc>
          <w:tcPr>
            <w:tcW w:type="dxa" w:w="2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r>
          </w:p>
        </w:tc>
      </w:tr>
    </w:tbl>
    <w:p>
      <w:pPr>
        <w:pStyle w:val="style0"/>
        <w:rPr/>
      </w:pPr>
      <w:r>
        <w:rPr/>
      </w:r>
    </w:p>
    <w:sectPr>
      <w:headerReference r:id="rId2" w:type="default"/>
      <w:footerReference r:id="rId3" w:type="default"/>
      <w:type w:val="nextPage"/>
      <w:pgSz w:h="16838" w:w="11906"/>
      <w:pgMar w:bottom="1417" w:footer="510" w:gutter="0" w:header="794" w:left="1417" w:right="1417" w:top="1416"/>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rPr>
        <w:b/>
        <w:i/>
      </w:rPr>
    </w:pPr>
    <w:r>
      <w:rPr>
        <w:b/>
        <w:i/>
      </w:rPr>
      <w:t>Szpital Specjalistyczny im. S. Żeromskiego  SP ZOZ w Krakowie , oś. Na Skarpie 66, 31-913 Kraków</w:t>
    </w:r>
  </w:p>
  <w:p>
    <w:pPr>
      <w:pStyle w:val="style25"/>
      <w:jc w:val="center"/>
      <w:rPr>
        <w:b/>
        <w:i/>
      </w:rPr>
    </w:pPr>
    <w:r>
      <w:rPr>
        <w:b/>
        <w:i/>
      </w:rPr>
      <w:t>Dział Logistyki – Sekcja Aparatury Medycznej</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Lucida Sans Unicode" w:hAnsi="Calibri"/>
      <w:color w:val="auto"/>
      <w:sz w:val="22"/>
      <w:szCs w:val="22"/>
      <w:lang w:bidi="ar-SA" w:eastAsia="en-US" w:val="pl-PL"/>
    </w:rPr>
  </w:style>
  <w:style w:styleId="style1" w:type="paragraph">
    <w:name w:val="Nagłówek 1"/>
    <w:basedOn w:val="style0"/>
    <w:next w:val="style1"/>
    <w:pPr>
      <w:keepNext/>
      <w:keepLines/>
      <w:spacing w:after="0" w:before="240"/>
      <w:contextualSpacing w:val="false"/>
    </w:pPr>
    <w:rPr>
      <w:rFonts w:ascii="Calibri Light" w:cs="" w:hAnsi="Calibri Light"/>
      <w:color w:val="2F5496"/>
      <w:sz w:val="32"/>
      <w:szCs w:val="32"/>
    </w:rPr>
  </w:style>
  <w:style w:styleId="style15" w:type="character">
    <w:name w:val="Default Paragraph Font"/>
    <w:next w:val="style15"/>
    <w:rPr/>
  </w:style>
  <w:style w:styleId="style16" w:type="character">
    <w:name w:val="Nagłówek 1 Znak"/>
    <w:basedOn w:val="style15"/>
    <w:next w:val="style16"/>
    <w:rPr>
      <w:rFonts w:ascii="Calibri Light" w:cs="" w:hAnsi="Calibri Light"/>
      <w:color w:val="2F5496"/>
      <w:sz w:val="32"/>
      <w:szCs w:val="32"/>
    </w:rPr>
  </w:style>
  <w:style w:styleId="style17" w:type="character">
    <w:name w:val="Nagłówek Znak"/>
    <w:basedOn w:val="style15"/>
    <w:next w:val="style17"/>
    <w:rPr/>
  </w:style>
  <w:style w:styleId="style18" w:type="character">
    <w:name w:val="Stopka Znak"/>
    <w:basedOn w:val="style15"/>
    <w:next w:val="style18"/>
    <w:rPr/>
  </w:style>
  <w:style w:styleId="style19" w:type="character">
    <w:name w:val="Tekst dymka Znak"/>
    <w:basedOn w:val="style15"/>
    <w:next w:val="style19"/>
    <w:rPr>
      <w:rFonts w:ascii="Segoe UI" w:cs="Segoe UI" w:hAnsi="Segoe UI"/>
      <w:sz w:val="18"/>
      <w:szCs w:val="18"/>
    </w:rPr>
  </w:style>
  <w:style w:styleId="style20" w:type="paragraph">
    <w:name w:val="Nagłówek"/>
    <w:basedOn w:val="style0"/>
    <w:next w:val="style21"/>
    <w:pPr>
      <w:keepNext/>
      <w:spacing w:after="120" w:before="240"/>
      <w:contextualSpacing w:val="false"/>
    </w:pPr>
    <w:rPr>
      <w:rFonts w:ascii="Arial" w:cs="Mangal" w:eastAsia="Lucida Sans Unicode" w:hAnsi="Arial"/>
      <w:sz w:val="28"/>
      <w:szCs w:val="28"/>
    </w:rPr>
  </w:style>
  <w:style w:styleId="style21" w:type="paragraph">
    <w:name w:val="Treść tekstu"/>
    <w:basedOn w:val="style0"/>
    <w:next w:val="style21"/>
    <w:pPr>
      <w:spacing w:after="120" w:before="0"/>
      <w:contextualSpacing w:val="false"/>
    </w:pPr>
    <w:rPr/>
  </w:style>
  <w:style w:styleId="style22" w:type="paragraph">
    <w:name w:val="Lista"/>
    <w:basedOn w:val="style21"/>
    <w:next w:val="style22"/>
    <w:pPr/>
    <w:rPr>
      <w:rFonts w:cs="Mangal"/>
    </w:rPr>
  </w:style>
  <w:style w:styleId="style23" w:type="paragraph">
    <w:name w:val="Podpis"/>
    <w:basedOn w:val="style0"/>
    <w:next w:val="style23"/>
    <w:pPr>
      <w:suppressLineNumbers/>
      <w:spacing w:after="120" w:before="120"/>
      <w:contextualSpacing w:val="false"/>
    </w:pPr>
    <w:rPr>
      <w:rFonts w:cs="Mangal"/>
      <w:i/>
      <w:iCs/>
      <w:sz w:val="24"/>
      <w:szCs w:val="24"/>
    </w:rPr>
  </w:style>
  <w:style w:styleId="style24" w:type="paragraph">
    <w:name w:val="Indeks"/>
    <w:basedOn w:val="style0"/>
    <w:next w:val="style24"/>
    <w:pPr>
      <w:suppressLineNumbers/>
    </w:pPr>
    <w:rPr>
      <w:rFonts w:cs="Mangal"/>
    </w:rPr>
  </w:style>
  <w:style w:styleId="style25" w:type="paragraph">
    <w:name w:val="Główka"/>
    <w:basedOn w:val="style0"/>
    <w:next w:val="style25"/>
    <w:pPr>
      <w:tabs>
        <w:tab w:leader="none" w:pos="4536" w:val="center"/>
        <w:tab w:leader="none" w:pos="9072" w:val="right"/>
      </w:tabs>
      <w:spacing w:after="0" w:before="0" w:line="100" w:lineRule="atLeast"/>
      <w:contextualSpacing w:val="false"/>
    </w:pPr>
    <w:rPr/>
  </w:style>
  <w:style w:styleId="style26" w:type="paragraph">
    <w:name w:val="Stopka"/>
    <w:basedOn w:val="style0"/>
    <w:next w:val="style26"/>
    <w:pPr>
      <w:tabs>
        <w:tab w:leader="none" w:pos="4536" w:val="center"/>
        <w:tab w:leader="none" w:pos="9072" w:val="right"/>
      </w:tabs>
      <w:spacing w:after="0" w:before="0" w:line="100" w:lineRule="atLeast"/>
      <w:contextualSpacing w:val="false"/>
    </w:pPr>
    <w:rPr/>
  </w:style>
  <w:style w:styleId="style27" w:type="paragraph">
    <w:name w:val="List Paragraph"/>
    <w:basedOn w:val="style0"/>
    <w:next w:val="style27"/>
    <w:pPr>
      <w:spacing w:after="160" w:before="0" w:line="254" w:lineRule="auto"/>
      <w:ind w:hanging="0" w:left="720" w:right="0"/>
      <w:contextualSpacing/>
    </w:pPr>
    <w:rPr/>
  </w:style>
  <w:style w:styleId="style28" w:type="paragraph">
    <w:name w:val="Balloon Text"/>
    <w:basedOn w:val="style0"/>
    <w:next w:val="style28"/>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2018-03-27T06:03:00Z</dcterms:created>
  <dc:creator>tech</dc:creator>
  <cp:lastModifiedBy>tech</cp:lastModifiedBy>
  <cp:lastPrinted>2018-03-27T06:55:00Z</cp:lastPrinted>
  <dcterms:modified xsi:type="dcterms:W3CDTF">2018-03-27T06:58:00Z</dcterms:modified>
  <cp:revision>4</cp:revision>
</cp:coreProperties>
</file>