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A37A3" w14:textId="5352C3D0" w:rsidR="00551ACC" w:rsidRPr="002B5DBD" w:rsidRDefault="007564B1" w:rsidP="007564B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bookmarkStart w:id="0" w:name="_GoBack"/>
      <w:bookmarkEnd w:id="0"/>
      <w:r>
        <w:rPr>
          <w:rFonts w:ascii="Times New Roman" w:hAnsi="Times New Roman" w:cs="Times New Roman"/>
          <w:b/>
          <w:sz w:val="28"/>
          <w:szCs w:val="28"/>
        </w:rPr>
        <w:tab/>
      </w:r>
      <w:r>
        <w:rPr>
          <w:rFonts w:ascii="Times New Roman" w:hAnsi="Times New Roman" w:cs="Times New Roman"/>
          <w:b/>
          <w:sz w:val="28"/>
          <w:szCs w:val="28"/>
        </w:rPr>
        <w:tab/>
        <w:t xml:space="preserve">      </w:t>
      </w:r>
      <w:r w:rsidR="00551ACC" w:rsidRPr="002B5DBD">
        <w:rPr>
          <w:rFonts w:ascii="Times New Roman" w:hAnsi="Times New Roman" w:cs="Times New Roman"/>
          <w:b/>
          <w:sz w:val="28"/>
          <w:szCs w:val="28"/>
        </w:rPr>
        <w:t>OPINIA NR</w:t>
      </w:r>
      <w:r w:rsidR="002B5DBD" w:rsidRPr="002B5DBD">
        <w:rPr>
          <w:rFonts w:ascii="Times New Roman" w:hAnsi="Times New Roman" w:cs="Times New Roman"/>
          <w:b/>
          <w:sz w:val="28"/>
          <w:szCs w:val="28"/>
        </w:rPr>
        <w:t xml:space="preserve"> 109/2021</w:t>
      </w:r>
    </w:p>
    <w:p w14:paraId="64254E57" w14:textId="77777777" w:rsidR="00551ACC" w:rsidRPr="002B5DBD" w:rsidRDefault="00551ACC" w:rsidP="00730559">
      <w:pPr>
        <w:spacing w:after="0" w:line="240" w:lineRule="auto"/>
        <w:ind w:firstLine="708"/>
        <w:jc w:val="center"/>
        <w:rPr>
          <w:rFonts w:ascii="Times New Roman" w:hAnsi="Times New Roman" w:cs="Times New Roman"/>
          <w:b/>
          <w:sz w:val="28"/>
          <w:szCs w:val="28"/>
        </w:rPr>
      </w:pPr>
      <w:r w:rsidRPr="002B5DBD">
        <w:rPr>
          <w:rFonts w:ascii="Times New Roman" w:hAnsi="Times New Roman" w:cs="Times New Roman"/>
          <w:b/>
          <w:sz w:val="28"/>
          <w:szCs w:val="28"/>
        </w:rPr>
        <w:t>PREZYDENTA MIASTA KRAKOWA</w:t>
      </w:r>
    </w:p>
    <w:p w14:paraId="063B4FA1" w14:textId="77FC3771" w:rsidR="00551ACC" w:rsidRPr="002B5DBD" w:rsidRDefault="00551ACC" w:rsidP="00730559">
      <w:pPr>
        <w:spacing w:after="0" w:line="240" w:lineRule="auto"/>
        <w:ind w:firstLine="2552"/>
        <w:rPr>
          <w:rFonts w:ascii="Times New Roman" w:hAnsi="Times New Roman" w:cs="Times New Roman"/>
          <w:b/>
          <w:sz w:val="28"/>
          <w:szCs w:val="28"/>
        </w:rPr>
      </w:pPr>
      <w:r w:rsidRPr="002B5DBD">
        <w:rPr>
          <w:rFonts w:ascii="Times New Roman" w:hAnsi="Times New Roman" w:cs="Times New Roman"/>
          <w:b/>
          <w:sz w:val="28"/>
          <w:szCs w:val="28"/>
        </w:rPr>
        <w:t>Z DNIA</w:t>
      </w:r>
      <w:r w:rsidR="001C4A08" w:rsidRPr="002B5DBD">
        <w:rPr>
          <w:rFonts w:ascii="Times New Roman" w:hAnsi="Times New Roman" w:cs="Times New Roman"/>
          <w:b/>
          <w:sz w:val="28"/>
          <w:szCs w:val="28"/>
        </w:rPr>
        <w:t xml:space="preserve"> </w:t>
      </w:r>
      <w:r w:rsidR="002B5DBD" w:rsidRPr="002B5DBD">
        <w:rPr>
          <w:rFonts w:ascii="Times New Roman" w:hAnsi="Times New Roman" w:cs="Times New Roman"/>
          <w:b/>
          <w:sz w:val="28"/>
          <w:szCs w:val="28"/>
        </w:rPr>
        <w:t>2 listopada 2021 r.</w:t>
      </w:r>
    </w:p>
    <w:p w14:paraId="2C6A75CF" w14:textId="77777777" w:rsidR="00551ACC" w:rsidRDefault="00551ACC" w:rsidP="00551ACC">
      <w:pPr>
        <w:jc w:val="center"/>
      </w:pPr>
    </w:p>
    <w:p w14:paraId="0B364105" w14:textId="0820C00A" w:rsidR="00551ACC" w:rsidRDefault="00915CF8" w:rsidP="006C516E">
      <w:pPr>
        <w:jc w:val="both"/>
        <w:rPr>
          <w:rFonts w:ascii="Times New Roman" w:hAnsi="Times New Roman" w:cs="Times New Roman"/>
          <w:b/>
          <w:sz w:val="24"/>
          <w:szCs w:val="24"/>
        </w:rPr>
      </w:pPr>
      <w:r>
        <w:rPr>
          <w:rFonts w:ascii="Times New Roman" w:hAnsi="Times New Roman" w:cs="Times New Roman"/>
          <w:b/>
          <w:sz w:val="24"/>
          <w:szCs w:val="24"/>
        </w:rPr>
        <w:t>dotycząca</w:t>
      </w:r>
      <w:r w:rsidR="00551ACC" w:rsidRPr="00007EC2">
        <w:rPr>
          <w:rFonts w:ascii="Times New Roman" w:hAnsi="Times New Roman" w:cs="Times New Roman"/>
          <w:b/>
          <w:sz w:val="24"/>
          <w:szCs w:val="24"/>
        </w:rPr>
        <w:t xml:space="preserve"> </w:t>
      </w:r>
      <w:r w:rsidR="00354143">
        <w:rPr>
          <w:rFonts w:ascii="Times New Roman" w:hAnsi="Times New Roman" w:cs="Times New Roman"/>
          <w:b/>
          <w:sz w:val="24"/>
          <w:szCs w:val="24"/>
        </w:rPr>
        <w:t xml:space="preserve">projektu uchwały </w:t>
      </w:r>
      <w:r w:rsidR="000C721B" w:rsidRPr="000C721B">
        <w:rPr>
          <w:rFonts w:ascii="Times New Roman" w:hAnsi="Times New Roman" w:cs="Times New Roman"/>
          <w:b/>
          <w:sz w:val="24"/>
          <w:szCs w:val="24"/>
        </w:rPr>
        <w:t xml:space="preserve">Rady Miasta Krakowa </w:t>
      </w:r>
      <w:r w:rsidR="00354143" w:rsidRPr="00915CF8">
        <w:rPr>
          <w:rFonts w:ascii="Times New Roman" w:hAnsi="Times New Roman" w:cs="Times New Roman"/>
          <w:b/>
          <w:i/>
          <w:sz w:val="24"/>
          <w:szCs w:val="24"/>
        </w:rPr>
        <w:t xml:space="preserve">w sprawie </w:t>
      </w:r>
      <w:r w:rsidR="002720AB" w:rsidRPr="00915CF8">
        <w:rPr>
          <w:rFonts w:ascii="Times New Roman" w:hAnsi="Times New Roman" w:cs="Times New Roman"/>
          <w:b/>
          <w:i/>
          <w:sz w:val="24"/>
          <w:szCs w:val="24"/>
        </w:rPr>
        <w:t>ustalenia kierunków działania dla Prezydenta Miasta Krakowa w zakresie dopuszczenia samochodów pomocy drogowej do poruszania się po wydzielonych buspasach</w:t>
      </w:r>
      <w:r w:rsidR="00551ACC" w:rsidRPr="00007EC2">
        <w:rPr>
          <w:rFonts w:ascii="Times New Roman" w:hAnsi="Times New Roman" w:cs="Times New Roman"/>
          <w:b/>
          <w:sz w:val="24"/>
          <w:szCs w:val="24"/>
        </w:rPr>
        <w:t xml:space="preserve"> </w:t>
      </w:r>
      <w:r w:rsidR="00007EC2" w:rsidRPr="00007EC2">
        <w:rPr>
          <w:rFonts w:ascii="Times New Roman" w:hAnsi="Times New Roman" w:cs="Times New Roman"/>
          <w:b/>
          <w:sz w:val="24"/>
          <w:szCs w:val="24"/>
        </w:rPr>
        <w:t xml:space="preserve">– </w:t>
      </w:r>
      <w:r w:rsidR="00551ACC" w:rsidRPr="00007EC2">
        <w:rPr>
          <w:rFonts w:ascii="Times New Roman" w:hAnsi="Times New Roman" w:cs="Times New Roman"/>
          <w:b/>
          <w:sz w:val="24"/>
          <w:szCs w:val="24"/>
        </w:rPr>
        <w:t>d</w:t>
      </w:r>
      <w:r w:rsidR="00007EC2" w:rsidRPr="00007EC2">
        <w:rPr>
          <w:rFonts w:ascii="Times New Roman" w:hAnsi="Times New Roman" w:cs="Times New Roman"/>
          <w:b/>
          <w:sz w:val="24"/>
          <w:szCs w:val="24"/>
        </w:rPr>
        <w:t>ruk nr</w:t>
      </w:r>
      <w:r w:rsidR="002C6A91">
        <w:rPr>
          <w:rFonts w:ascii="Times New Roman" w:hAnsi="Times New Roman" w:cs="Times New Roman"/>
          <w:b/>
          <w:sz w:val="24"/>
          <w:szCs w:val="24"/>
        </w:rPr>
        <w:t xml:space="preserve"> </w:t>
      </w:r>
      <w:r w:rsidR="002720AB">
        <w:rPr>
          <w:rFonts w:ascii="Times New Roman" w:hAnsi="Times New Roman" w:cs="Times New Roman"/>
          <w:b/>
          <w:sz w:val="24"/>
          <w:szCs w:val="24"/>
        </w:rPr>
        <w:t>2267</w:t>
      </w:r>
      <w:r>
        <w:rPr>
          <w:rFonts w:ascii="Times New Roman" w:hAnsi="Times New Roman" w:cs="Times New Roman"/>
          <w:b/>
          <w:sz w:val="24"/>
          <w:szCs w:val="24"/>
        </w:rPr>
        <w:t>.</w:t>
      </w:r>
    </w:p>
    <w:p w14:paraId="67FADF2B" w14:textId="6B677A95" w:rsidR="009530A3" w:rsidRPr="007564B1" w:rsidRDefault="007564B1" w:rsidP="00551ACC">
      <w:pPr>
        <w:jc w:val="both"/>
        <w:rPr>
          <w:rFonts w:ascii="Times New Roman" w:hAnsi="Times New Roman" w:cs="Times New Roman"/>
          <w:color w:val="000000"/>
          <w:sz w:val="20"/>
          <w:szCs w:val="20"/>
        </w:rPr>
      </w:pPr>
      <w:r w:rsidRPr="007564B1">
        <w:rPr>
          <w:rFonts w:ascii="Times New Roman" w:hAnsi="Times New Roman" w:cs="Times New Roman"/>
          <w:color w:val="000000"/>
          <w:sz w:val="20"/>
          <w:szCs w:val="20"/>
        </w:rPr>
        <w:t xml:space="preserve">Na podstawie § 30 ust. 4 pkt 4 Statutu Miasta Krakowa stanowiącego załącznik do uchwały nr XLVIII/435/96 Rady Miasta Krakowa z dnia 24 kwietnia 1996 r. </w:t>
      </w:r>
      <w:r w:rsidRPr="007564B1">
        <w:rPr>
          <w:rFonts w:ascii="Times New Roman" w:hAnsi="Times New Roman" w:cs="Times New Roman"/>
          <w:i/>
          <w:color w:val="000000"/>
          <w:sz w:val="20"/>
          <w:szCs w:val="20"/>
        </w:rPr>
        <w:t>w sprawie Statutu Miasta Krakowa</w:t>
      </w:r>
      <w:r w:rsidRPr="007564B1">
        <w:rPr>
          <w:rFonts w:ascii="Times New Roman" w:hAnsi="Times New Roman" w:cs="Times New Roman"/>
          <w:color w:val="000000"/>
          <w:sz w:val="20"/>
          <w:szCs w:val="20"/>
        </w:rPr>
        <w:t xml:space="preserve"> (Dz. Urz. Woj. </w:t>
      </w:r>
      <w:proofErr w:type="spellStart"/>
      <w:r w:rsidRPr="007564B1">
        <w:rPr>
          <w:rFonts w:ascii="Times New Roman" w:hAnsi="Times New Roman" w:cs="Times New Roman"/>
          <w:color w:val="000000"/>
          <w:sz w:val="20"/>
          <w:szCs w:val="20"/>
        </w:rPr>
        <w:t>Małopol</w:t>
      </w:r>
      <w:proofErr w:type="spellEnd"/>
      <w:r w:rsidRPr="007564B1">
        <w:rPr>
          <w:rFonts w:ascii="Times New Roman" w:hAnsi="Times New Roman" w:cs="Times New Roman"/>
          <w:color w:val="000000"/>
          <w:sz w:val="20"/>
          <w:szCs w:val="20"/>
        </w:rPr>
        <w:t xml:space="preserve">. </w:t>
      </w:r>
      <w:r w:rsidRPr="007564B1">
        <w:rPr>
          <w:rFonts w:ascii="Times New Roman" w:hAnsi="Times New Roman" w:cs="Times New Roman"/>
          <w:color w:val="000000"/>
          <w:sz w:val="20"/>
          <w:szCs w:val="20"/>
        </w:rPr>
        <w:br/>
        <w:t>z 2019 r., poz. 7074 oraz z 2020 r. poz. 919) postanawia się, co następuje:</w:t>
      </w:r>
    </w:p>
    <w:p w14:paraId="65A98F8F" w14:textId="7BD6A401" w:rsidR="004028AA" w:rsidRDefault="00007EC2" w:rsidP="00915CF8">
      <w:pPr>
        <w:spacing w:line="276" w:lineRule="auto"/>
        <w:jc w:val="both"/>
        <w:rPr>
          <w:rFonts w:ascii="Times New Roman" w:hAnsi="Times New Roman" w:cs="Times New Roman"/>
          <w:sz w:val="24"/>
          <w:szCs w:val="24"/>
        </w:rPr>
      </w:pPr>
      <w:r w:rsidRPr="00007EC2">
        <w:rPr>
          <w:rFonts w:ascii="Times New Roman" w:hAnsi="Times New Roman" w:cs="Times New Roman"/>
          <w:sz w:val="24"/>
          <w:szCs w:val="24"/>
        </w:rPr>
        <w:t xml:space="preserve">Opiniuje się </w:t>
      </w:r>
      <w:r w:rsidRPr="00333BEA">
        <w:rPr>
          <w:rFonts w:ascii="Times New Roman" w:hAnsi="Times New Roman" w:cs="Times New Roman"/>
          <w:b/>
          <w:sz w:val="24"/>
          <w:szCs w:val="24"/>
        </w:rPr>
        <w:t>negatywnie</w:t>
      </w:r>
      <w:r w:rsidR="00551ACC" w:rsidRPr="00007EC2">
        <w:rPr>
          <w:rFonts w:ascii="Times New Roman" w:hAnsi="Times New Roman" w:cs="Times New Roman"/>
          <w:sz w:val="24"/>
          <w:szCs w:val="24"/>
        </w:rPr>
        <w:t xml:space="preserve"> projekt </w:t>
      </w:r>
      <w:r w:rsidR="002720AB">
        <w:rPr>
          <w:rFonts w:ascii="Times New Roman" w:hAnsi="Times New Roman" w:cs="Times New Roman"/>
          <w:sz w:val="24"/>
          <w:szCs w:val="24"/>
        </w:rPr>
        <w:t>uchwały</w:t>
      </w:r>
      <w:r w:rsidR="00551ACC" w:rsidRPr="00007EC2">
        <w:rPr>
          <w:rFonts w:ascii="Times New Roman" w:hAnsi="Times New Roman" w:cs="Times New Roman"/>
          <w:sz w:val="24"/>
          <w:szCs w:val="24"/>
        </w:rPr>
        <w:t xml:space="preserve"> Rady Miasta Krakowa</w:t>
      </w:r>
      <w:r w:rsidR="00915CF8">
        <w:rPr>
          <w:rFonts w:ascii="Times New Roman" w:hAnsi="Times New Roman" w:cs="Times New Roman"/>
          <w:sz w:val="24"/>
          <w:szCs w:val="24"/>
        </w:rPr>
        <w:t xml:space="preserve"> wniesiony przez Klub </w:t>
      </w:r>
      <w:proofErr w:type="spellStart"/>
      <w:r w:rsidR="00915CF8">
        <w:rPr>
          <w:rFonts w:ascii="Times New Roman" w:hAnsi="Times New Roman" w:cs="Times New Roman"/>
          <w:sz w:val="24"/>
          <w:szCs w:val="24"/>
        </w:rPr>
        <w:t>Platforma.Nowoczesna</w:t>
      </w:r>
      <w:proofErr w:type="spellEnd"/>
      <w:r w:rsidR="00915CF8">
        <w:rPr>
          <w:rFonts w:ascii="Times New Roman" w:hAnsi="Times New Roman" w:cs="Times New Roman"/>
          <w:sz w:val="24"/>
          <w:szCs w:val="24"/>
        </w:rPr>
        <w:t xml:space="preserve"> </w:t>
      </w:r>
      <w:proofErr w:type="spellStart"/>
      <w:r w:rsidR="00915CF8">
        <w:rPr>
          <w:rFonts w:ascii="Times New Roman" w:hAnsi="Times New Roman" w:cs="Times New Roman"/>
          <w:sz w:val="24"/>
          <w:szCs w:val="24"/>
        </w:rPr>
        <w:t>Kolalicja</w:t>
      </w:r>
      <w:proofErr w:type="spellEnd"/>
      <w:r w:rsidR="00915CF8">
        <w:rPr>
          <w:rFonts w:ascii="Times New Roman" w:hAnsi="Times New Roman" w:cs="Times New Roman"/>
          <w:sz w:val="24"/>
          <w:szCs w:val="24"/>
        </w:rPr>
        <w:t xml:space="preserve"> </w:t>
      </w:r>
      <w:proofErr w:type="spellStart"/>
      <w:r w:rsidR="00915CF8">
        <w:rPr>
          <w:rFonts w:ascii="Times New Roman" w:hAnsi="Times New Roman" w:cs="Times New Roman"/>
          <w:sz w:val="24"/>
          <w:szCs w:val="24"/>
        </w:rPr>
        <w:t>Obywatleska</w:t>
      </w:r>
      <w:proofErr w:type="spellEnd"/>
      <w:r w:rsidR="00551ACC" w:rsidRPr="00007EC2">
        <w:rPr>
          <w:rFonts w:ascii="Times New Roman" w:hAnsi="Times New Roman" w:cs="Times New Roman"/>
          <w:sz w:val="24"/>
          <w:szCs w:val="24"/>
        </w:rPr>
        <w:t xml:space="preserve"> </w:t>
      </w:r>
      <w:r w:rsidR="002C6A91" w:rsidRPr="00915CF8">
        <w:rPr>
          <w:rFonts w:ascii="Times New Roman" w:hAnsi="Times New Roman" w:cs="Times New Roman"/>
          <w:i/>
          <w:sz w:val="24"/>
          <w:szCs w:val="24"/>
        </w:rPr>
        <w:t xml:space="preserve">w sprawie </w:t>
      </w:r>
      <w:r w:rsidR="002720AB" w:rsidRPr="00915CF8">
        <w:rPr>
          <w:rFonts w:ascii="Times New Roman" w:hAnsi="Times New Roman" w:cs="Times New Roman"/>
          <w:i/>
          <w:sz w:val="24"/>
          <w:szCs w:val="24"/>
        </w:rPr>
        <w:t xml:space="preserve">ustalenia kierunków działania dla Prezydenta Miasta Krakowa w zakresie dopuszczenia samochodów pomocy drogowej do poruszania się po wydzielonych buspasach </w:t>
      </w:r>
      <w:r w:rsidR="002720AB" w:rsidRPr="002720AB">
        <w:rPr>
          <w:rFonts w:ascii="Times New Roman" w:hAnsi="Times New Roman" w:cs="Times New Roman"/>
          <w:sz w:val="24"/>
          <w:szCs w:val="24"/>
        </w:rPr>
        <w:t>– druk nr 2267</w:t>
      </w:r>
      <w:r w:rsidR="00BB07A1">
        <w:rPr>
          <w:rFonts w:ascii="Times New Roman" w:hAnsi="Times New Roman" w:cs="Times New Roman"/>
          <w:sz w:val="24"/>
          <w:szCs w:val="24"/>
        </w:rPr>
        <w:t>.</w:t>
      </w:r>
    </w:p>
    <w:p w14:paraId="745EC08F" w14:textId="77777777" w:rsidR="007564B1" w:rsidRDefault="007564B1" w:rsidP="00915CF8">
      <w:pPr>
        <w:spacing w:line="276" w:lineRule="auto"/>
        <w:jc w:val="both"/>
        <w:rPr>
          <w:rFonts w:ascii="Times New Roman" w:hAnsi="Times New Roman" w:cs="Times New Roman"/>
          <w:b/>
          <w:sz w:val="24"/>
          <w:szCs w:val="24"/>
        </w:rPr>
      </w:pPr>
    </w:p>
    <w:p w14:paraId="541937D9" w14:textId="720E1413" w:rsidR="00143C30" w:rsidRDefault="00551ACC" w:rsidP="00915CF8">
      <w:pPr>
        <w:spacing w:line="276" w:lineRule="auto"/>
        <w:jc w:val="center"/>
        <w:rPr>
          <w:rFonts w:ascii="Times New Roman" w:hAnsi="Times New Roman" w:cs="Times New Roman"/>
          <w:b/>
          <w:sz w:val="24"/>
          <w:szCs w:val="24"/>
        </w:rPr>
      </w:pPr>
      <w:r w:rsidRPr="00007EC2">
        <w:rPr>
          <w:rFonts w:ascii="Times New Roman" w:hAnsi="Times New Roman" w:cs="Times New Roman"/>
          <w:b/>
          <w:sz w:val="24"/>
          <w:szCs w:val="24"/>
        </w:rPr>
        <w:t>UZASADNIENIE</w:t>
      </w:r>
    </w:p>
    <w:p w14:paraId="21250CEC" w14:textId="77777777" w:rsidR="007564B1" w:rsidRDefault="007564B1" w:rsidP="00915CF8">
      <w:pPr>
        <w:spacing w:line="276" w:lineRule="auto"/>
        <w:jc w:val="center"/>
        <w:rPr>
          <w:rFonts w:ascii="Times New Roman" w:hAnsi="Times New Roman" w:cs="Times New Roman"/>
          <w:b/>
          <w:sz w:val="24"/>
          <w:szCs w:val="24"/>
        </w:rPr>
      </w:pPr>
    </w:p>
    <w:p w14:paraId="6C9DEE93" w14:textId="3A9F7C07" w:rsidR="002D114A" w:rsidRDefault="00915CF8" w:rsidP="00915CF8">
      <w:pPr>
        <w:spacing w:before="120" w:after="12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2D114A">
        <w:rPr>
          <w:rFonts w:ascii="Times New Roman" w:hAnsi="Times New Roman" w:cs="Times New Roman"/>
          <w:color w:val="000000"/>
          <w:sz w:val="24"/>
          <w:szCs w:val="24"/>
        </w:rPr>
        <w:t xml:space="preserve">odjęcie </w:t>
      </w:r>
      <w:r w:rsidR="00BB07A1">
        <w:rPr>
          <w:rFonts w:ascii="Times New Roman" w:hAnsi="Times New Roman" w:cs="Times New Roman"/>
          <w:color w:val="000000"/>
          <w:sz w:val="24"/>
          <w:szCs w:val="24"/>
        </w:rPr>
        <w:t xml:space="preserve">przez radę gminy </w:t>
      </w:r>
      <w:r w:rsidR="002D114A">
        <w:rPr>
          <w:rFonts w:ascii="Times New Roman" w:hAnsi="Times New Roman" w:cs="Times New Roman"/>
          <w:color w:val="000000"/>
          <w:sz w:val="24"/>
          <w:szCs w:val="24"/>
        </w:rPr>
        <w:t xml:space="preserve">uchwały na podstawie art. 18 ust. 2 pkt 2 ustawy z dnia </w:t>
      </w:r>
      <w:r>
        <w:rPr>
          <w:rFonts w:ascii="Times New Roman" w:hAnsi="Times New Roman" w:cs="Times New Roman"/>
          <w:color w:val="000000"/>
          <w:sz w:val="24"/>
          <w:szCs w:val="24"/>
        </w:rPr>
        <w:br/>
      </w:r>
      <w:r w:rsidR="002D114A">
        <w:rPr>
          <w:rFonts w:ascii="Times New Roman" w:hAnsi="Times New Roman" w:cs="Times New Roman"/>
          <w:color w:val="000000"/>
          <w:sz w:val="24"/>
          <w:szCs w:val="24"/>
        </w:rPr>
        <w:t xml:space="preserve">8 marca 1990 r. </w:t>
      </w:r>
      <w:r w:rsidR="002D114A" w:rsidRPr="00915CF8">
        <w:rPr>
          <w:rFonts w:ascii="Times New Roman" w:hAnsi="Times New Roman" w:cs="Times New Roman"/>
          <w:i/>
          <w:color w:val="000000"/>
          <w:sz w:val="24"/>
          <w:szCs w:val="24"/>
        </w:rPr>
        <w:t>o samorządzie gminnym</w:t>
      </w:r>
      <w:r w:rsidR="002D11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tekst jednolity: </w:t>
      </w:r>
      <w:r w:rsidR="002D114A">
        <w:rPr>
          <w:rFonts w:ascii="Times New Roman" w:hAnsi="Times New Roman" w:cs="Times New Roman"/>
          <w:color w:val="000000"/>
          <w:sz w:val="24"/>
          <w:szCs w:val="24"/>
        </w:rPr>
        <w:t>Dz. U. z 202</w:t>
      </w:r>
      <w:r w:rsidR="00BB07A1">
        <w:rPr>
          <w:rFonts w:ascii="Times New Roman" w:hAnsi="Times New Roman" w:cs="Times New Roman"/>
          <w:color w:val="000000"/>
          <w:sz w:val="24"/>
          <w:szCs w:val="24"/>
        </w:rPr>
        <w:t>1</w:t>
      </w:r>
      <w:r w:rsidR="002D114A">
        <w:rPr>
          <w:rFonts w:ascii="Times New Roman" w:hAnsi="Times New Roman" w:cs="Times New Roman"/>
          <w:color w:val="000000"/>
          <w:sz w:val="24"/>
          <w:szCs w:val="24"/>
        </w:rPr>
        <w:t xml:space="preserve"> r., poz. </w:t>
      </w:r>
      <w:r w:rsidR="00BB07A1">
        <w:rPr>
          <w:rFonts w:ascii="Times New Roman" w:hAnsi="Times New Roman" w:cs="Times New Roman"/>
          <w:color w:val="000000"/>
          <w:sz w:val="24"/>
          <w:szCs w:val="24"/>
        </w:rPr>
        <w:t>1372</w:t>
      </w:r>
      <w:r>
        <w:rPr>
          <w:rFonts w:ascii="Times New Roman" w:hAnsi="Times New Roman" w:cs="Times New Roman"/>
          <w:color w:val="000000"/>
          <w:sz w:val="24"/>
          <w:szCs w:val="24"/>
        </w:rPr>
        <w:t xml:space="preserve">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w:t>
      </w:r>
      <w:r w:rsidR="002D114A">
        <w:rPr>
          <w:rFonts w:ascii="Times New Roman" w:hAnsi="Times New Roman" w:cs="Times New Roman"/>
          <w:color w:val="000000"/>
          <w:sz w:val="24"/>
          <w:szCs w:val="24"/>
        </w:rPr>
        <w:t xml:space="preserve"> dalej </w:t>
      </w:r>
      <w:proofErr w:type="spellStart"/>
      <w:r w:rsidR="002D114A">
        <w:rPr>
          <w:rFonts w:ascii="Times New Roman" w:hAnsi="Times New Roman" w:cs="Times New Roman"/>
          <w:color w:val="000000"/>
          <w:sz w:val="24"/>
          <w:szCs w:val="24"/>
        </w:rPr>
        <w:t>u.s.g</w:t>
      </w:r>
      <w:proofErr w:type="spellEnd"/>
      <w:r w:rsidR="002D114A">
        <w:rPr>
          <w:rFonts w:ascii="Times New Roman" w:hAnsi="Times New Roman" w:cs="Times New Roman"/>
          <w:color w:val="000000"/>
          <w:sz w:val="24"/>
          <w:szCs w:val="24"/>
        </w:rPr>
        <w:t>.), ma na celu stanowienie o kierunkach działania organu wykonawczego gmin</w:t>
      </w:r>
      <w:r w:rsidR="00BB07A1">
        <w:rPr>
          <w:rFonts w:ascii="Times New Roman" w:hAnsi="Times New Roman" w:cs="Times New Roman"/>
          <w:color w:val="000000"/>
          <w:sz w:val="24"/>
          <w:szCs w:val="24"/>
        </w:rPr>
        <w:t>y</w:t>
      </w:r>
      <w:r w:rsidR="002D114A">
        <w:rPr>
          <w:rFonts w:ascii="Times New Roman" w:hAnsi="Times New Roman" w:cs="Times New Roman"/>
          <w:color w:val="000000"/>
          <w:sz w:val="24"/>
          <w:szCs w:val="24"/>
        </w:rPr>
        <w:t>. Zgodnie z </w:t>
      </w:r>
      <w:r w:rsidR="00F11CBC">
        <w:rPr>
          <w:rFonts w:ascii="Times New Roman" w:hAnsi="Times New Roman" w:cs="Times New Roman"/>
          <w:color w:val="000000"/>
          <w:sz w:val="24"/>
          <w:szCs w:val="24"/>
        </w:rPr>
        <w:t xml:space="preserve">utrwalonym stanowiskiem </w:t>
      </w:r>
      <w:r w:rsidR="002D114A">
        <w:rPr>
          <w:rFonts w:ascii="Times New Roman" w:hAnsi="Times New Roman" w:cs="Times New Roman"/>
          <w:color w:val="000000"/>
          <w:sz w:val="24"/>
          <w:szCs w:val="24"/>
        </w:rPr>
        <w:t>organu nadzoru – Wojewody Małopolskiego – uchwała rady</w:t>
      </w:r>
      <w:r w:rsidR="00F11CBC">
        <w:rPr>
          <w:rFonts w:ascii="Times New Roman" w:hAnsi="Times New Roman" w:cs="Times New Roman"/>
          <w:color w:val="000000"/>
          <w:sz w:val="24"/>
          <w:szCs w:val="24"/>
        </w:rPr>
        <w:t xml:space="preserve"> gminy</w:t>
      </w:r>
      <w:r w:rsidR="002D114A">
        <w:rPr>
          <w:rFonts w:ascii="Times New Roman" w:hAnsi="Times New Roman" w:cs="Times New Roman"/>
          <w:color w:val="000000"/>
          <w:sz w:val="24"/>
          <w:szCs w:val="24"/>
        </w:rPr>
        <w:t xml:space="preserve"> o kierunkach działania </w:t>
      </w:r>
      <w:r w:rsidR="00F11CBC">
        <w:rPr>
          <w:rFonts w:ascii="Times New Roman" w:hAnsi="Times New Roman" w:cs="Times New Roman"/>
          <w:color w:val="000000"/>
          <w:sz w:val="24"/>
          <w:szCs w:val="24"/>
        </w:rPr>
        <w:t xml:space="preserve">organu wykonawczego gminy </w:t>
      </w:r>
      <w:r w:rsidR="002D114A">
        <w:rPr>
          <w:rFonts w:ascii="Times New Roman" w:hAnsi="Times New Roman" w:cs="Times New Roman"/>
          <w:color w:val="000000"/>
          <w:sz w:val="24"/>
          <w:szCs w:val="24"/>
        </w:rPr>
        <w:t>nie może ograniczać samodzielności organu wykonawczego w realizacji przyznanej mu ustawowo kompetencji, w</w:t>
      </w:r>
      <w:r w:rsidR="00357136">
        <w:rPr>
          <w:rFonts w:ascii="Times New Roman" w:hAnsi="Times New Roman" w:cs="Times New Roman"/>
          <w:color w:val="000000"/>
          <w:sz w:val="24"/>
          <w:szCs w:val="24"/>
        </w:rPr>
        <w:t> </w:t>
      </w:r>
      <w:r w:rsidR="002D114A">
        <w:rPr>
          <w:rFonts w:ascii="Times New Roman" w:hAnsi="Times New Roman" w:cs="Times New Roman"/>
          <w:color w:val="000000"/>
          <w:sz w:val="24"/>
          <w:szCs w:val="24"/>
        </w:rPr>
        <w:t xml:space="preserve">tym przez przepisy prawa materialnego, zwłaszcza poprzez formułowanie poleceń czy nakazów konkretnego sposobu załatwienia danej sprawy. Uchwała taka stanowi więc jedynie pewne zalecenia i wskazówki wobec działalności organu wykonawczego gminy i nie może być traktowana jako wydanie mu polecenia przez radę, co osłabia jej moc bezwzględnie wiążącą (K. </w:t>
      </w:r>
      <w:proofErr w:type="spellStart"/>
      <w:r w:rsidR="002D114A">
        <w:rPr>
          <w:rFonts w:ascii="Times New Roman" w:hAnsi="Times New Roman" w:cs="Times New Roman"/>
          <w:color w:val="000000"/>
          <w:sz w:val="24"/>
          <w:szCs w:val="24"/>
        </w:rPr>
        <w:t>Wlaźlak</w:t>
      </w:r>
      <w:proofErr w:type="spellEnd"/>
      <w:r w:rsidR="002D114A">
        <w:rPr>
          <w:rFonts w:ascii="Times New Roman" w:hAnsi="Times New Roman" w:cs="Times New Roman"/>
          <w:color w:val="000000"/>
          <w:sz w:val="24"/>
          <w:szCs w:val="24"/>
        </w:rPr>
        <w:t xml:space="preserve"> (w:) </w:t>
      </w:r>
      <w:r w:rsidR="002D114A">
        <w:rPr>
          <w:rFonts w:ascii="Times New Roman" w:hAnsi="Times New Roman" w:cs="Times New Roman"/>
          <w:i/>
          <w:color w:val="000000"/>
          <w:sz w:val="24"/>
          <w:szCs w:val="24"/>
        </w:rPr>
        <w:t xml:space="preserve">Ustawa o samorządzie gminnym. Komentarz, </w:t>
      </w:r>
      <w:r w:rsidR="002D114A" w:rsidRPr="00D35CFA">
        <w:rPr>
          <w:rFonts w:ascii="Times New Roman" w:hAnsi="Times New Roman" w:cs="Times New Roman"/>
          <w:color w:val="000000"/>
          <w:sz w:val="24"/>
          <w:szCs w:val="24"/>
        </w:rPr>
        <w:t>red. P. Chmielnicki, Warszawa 2013, komentarz do art. 18, teza 3, LEX/el ora</w:t>
      </w:r>
      <w:r w:rsidR="002D114A">
        <w:rPr>
          <w:rFonts w:ascii="Times New Roman" w:hAnsi="Times New Roman" w:cs="Times New Roman"/>
          <w:color w:val="000000"/>
          <w:sz w:val="24"/>
          <w:szCs w:val="24"/>
        </w:rPr>
        <w:t>z</w:t>
      </w:r>
      <w:r w:rsidR="002D114A" w:rsidRPr="00D35CFA">
        <w:rPr>
          <w:rFonts w:ascii="Times New Roman" w:hAnsi="Times New Roman" w:cs="Times New Roman"/>
          <w:color w:val="000000"/>
          <w:sz w:val="24"/>
          <w:szCs w:val="24"/>
        </w:rPr>
        <w:t xml:space="preserve"> M. Augustyniak, T. Moll (w:)</w:t>
      </w:r>
      <w:r w:rsidR="002D114A">
        <w:rPr>
          <w:rFonts w:ascii="Times New Roman" w:hAnsi="Times New Roman" w:cs="Times New Roman"/>
          <w:i/>
          <w:color w:val="000000"/>
          <w:sz w:val="24"/>
          <w:szCs w:val="24"/>
        </w:rPr>
        <w:t xml:space="preserve"> Ustawa </w:t>
      </w:r>
      <w:r w:rsidR="00B73847">
        <w:rPr>
          <w:rFonts w:ascii="Times New Roman" w:hAnsi="Times New Roman" w:cs="Times New Roman"/>
          <w:i/>
          <w:color w:val="000000"/>
          <w:sz w:val="24"/>
          <w:szCs w:val="24"/>
        </w:rPr>
        <w:br/>
      </w:r>
      <w:r w:rsidR="002D114A">
        <w:rPr>
          <w:rFonts w:ascii="Times New Roman" w:hAnsi="Times New Roman" w:cs="Times New Roman"/>
          <w:i/>
          <w:color w:val="000000"/>
          <w:sz w:val="24"/>
          <w:szCs w:val="24"/>
        </w:rPr>
        <w:t xml:space="preserve">o samorządzie gminnym. Komentarz, </w:t>
      </w:r>
      <w:r w:rsidR="002D114A" w:rsidRPr="00D35CFA">
        <w:rPr>
          <w:rFonts w:ascii="Times New Roman" w:hAnsi="Times New Roman" w:cs="Times New Roman"/>
          <w:color w:val="000000"/>
          <w:sz w:val="24"/>
          <w:szCs w:val="24"/>
        </w:rPr>
        <w:t>red. B. Dolnicki, Warszawa 2018, komentarz do art. 18, teza 5, LEX/el)</w:t>
      </w:r>
      <w:r w:rsidR="002D114A">
        <w:rPr>
          <w:rFonts w:ascii="Times New Roman" w:hAnsi="Times New Roman" w:cs="Times New Roman"/>
          <w:color w:val="000000"/>
          <w:sz w:val="24"/>
          <w:szCs w:val="24"/>
        </w:rPr>
        <w:t>.</w:t>
      </w:r>
    </w:p>
    <w:p w14:paraId="01D66AA7" w14:textId="27524CE0" w:rsidR="002D114A" w:rsidRPr="00CB011C" w:rsidRDefault="002D114A" w:rsidP="00915CF8">
      <w:pPr>
        <w:spacing w:before="120" w:after="12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Podobne stanowisko zajmują również sądy administracyjne, które wyjaśniają, że</w:t>
      </w:r>
      <w:r w:rsidR="00915CF8">
        <w:rPr>
          <w:rFonts w:ascii="Times New Roman" w:hAnsi="Times New Roman" w:cs="Times New Roman"/>
          <w:color w:val="000000"/>
          <w:sz w:val="24"/>
          <w:szCs w:val="24"/>
        </w:rPr>
        <w:t>:</w:t>
      </w:r>
      <w:r>
        <w:rPr>
          <w:rFonts w:ascii="Times New Roman" w:hAnsi="Times New Roman" w:cs="Times New Roman"/>
          <w:color w:val="000000"/>
          <w:sz w:val="24"/>
          <w:szCs w:val="24"/>
        </w:rPr>
        <w:t> </w:t>
      </w:r>
      <w:r w:rsidRPr="00915CF8">
        <w:rPr>
          <w:rFonts w:ascii="Times New Roman" w:hAnsi="Times New Roman" w:cs="Times New Roman"/>
          <w:i/>
          <w:color w:val="000000"/>
          <w:sz w:val="24"/>
          <w:szCs w:val="24"/>
        </w:rPr>
        <w:t xml:space="preserve">Przepis art. 18 ust. 2 pkt 2 </w:t>
      </w:r>
      <w:proofErr w:type="spellStart"/>
      <w:r w:rsidRPr="00915CF8">
        <w:rPr>
          <w:rFonts w:ascii="Times New Roman" w:hAnsi="Times New Roman" w:cs="Times New Roman"/>
          <w:i/>
          <w:color w:val="000000"/>
          <w:sz w:val="24"/>
          <w:szCs w:val="24"/>
        </w:rPr>
        <w:t>u.s.g</w:t>
      </w:r>
      <w:proofErr w:type="spellEnd"/>
      <w:r w:rsidRPr="00915CF8">
        <w:rPr>
          <w:rFonts w:ascii="Times New Roman" w:hAnsi="Times New Roman" w:cs="Times New Roman"/>
          <w:i/>
          <w:color w:val="000000"/>
          <w:sz w:val="24"/>
          <w:szCs w:val="24"/>
        </w:rPr>
        <w:t xml:space="preserve">. upoważnia radę gminy do stanowienia o kierunkach działania wójta, a nie do określania form działania. Przepis ten zezwala radzie gminy jedynie na </w:t>
      </w:r>
      <w:r w:rsidR="00F11CBC" w:rsidRPr="00915CF8">
        <w:rPr>
          <w:rFonts w:ascii="Times New Roman" w:hAnsi="Times New Roman" w:cs="Times New Roman"/>
          <w:i/>
          <w:color w:val="000000"/>
          <w:sz w:val="24"/>
          <w:szCs w:val="24"/>
        </w:rPr>
        <w:t>„</w:t>
      </w:r>
      <w:r w:rsidRPr="00915CF8">
        <w:rPr>
          <w:rFonts w:ascii="Times New Roman" w:hAnsi="Times New Roman" w:cs="Times New Roman"/>
          <w:i/>
          <w:color w:val="000000"/>
          <w:sz w:val="24"/>
          <w:szCs w:val="24"/>
        </w:rPr>
        <w:t>stanowienie o kierunkach działania wójta</w:t>
      </w:r>
      <w:r w:rsidR="00F11CBC" w:rsidRPr="00915CF8">
        <w:rPr>
          <w:rFonts w:ascii="Times New Roman" w:hAnsi="Times New Roman" w:cs="Times New Roman"/>
          <w:i/>
          <w:color w:val="000000"/>
          <w:sz w:val="24"/>
          <w:szCs w:val="24"/>
        </w:rPr>
        <w:t>”</w:t>
      </w:r>
      <w:r w:rsidRPr="00915CF8">
        <w:rPr>
          <w:rFonts w:ascii="Times New Roman" w:hAnsi="Times New Roman" w:cs="Times New Roman"/>
          <w:i/>
          <w:color w:val="000000"/>
          <w:sz w:val="24"/>
          <w:szCs w:val="24"/>
        </w:rPr>
        <w:t xml:space="preserve">, a więc stanowi upoważnienie do wydawania aktów kierunkowych, wskazujących jedynie cele, priorytety działania wójta, ale nie przesądzających w jaki sposób i w jakich formach ma to działanie być przez wójta podejmowane. Stanowione na podstawie tego upoważnienia uchwały mogą mieć zatem jedynie charakter wewnętrzny, zawierając wytyczne lub zalecenia dla organu wykonawczego. Mogą one określać ogólnie strategię działania wójta, wskazywać hierarchię priorytetów w zakresie realizacji celów i zadań mieszczących się w zadaniach gminy, ale nie mogą wkraczać wprost </w:t>
      </w:r>
      <w:r w:rsidR="00915CF8">
        <w:rPr>
          <w:rFonts w:ascii="Times New Roman" w:hAnsi="Times New Roman" w:cs="Times New Roman"/>
          <w:i/>
          <w:color w:val="000000"/>
          <w:sz w:val="24"/>
          <w:szCs w:val="24"/>
        </w:rPr>
        <w:br/>
      </w:r>
      <w:r w:rsidRPr="00915CF8">
        <w:rPr>
          <w:rFonts w:ascii="Times New Roman" w:hAnsi="Times New Roman" w:cs="Times New Roman"/>
          <w:i/>
          <w:color w:val="000000"/>
          <w:sz w:val="24"/>
          <w:szCs w:val="24"/>
        </w:rPr>
        <w:lastRenderedPageBreak/>
        <w:t xml:space="preserve">w zakres działania poszczególnych organów gminy. Podejmowane przez radę gminy na podstawie art. 18 ust. 2 pkt 2 </w:t>
      </w:r>
      <w:proofErr w:type="spellStart"/>
      <w:r w:rsidRPr="00915CF8">
        <w:rPr>
          <w:rFonts w:ascii="Times New Roman" w:hAnsi="Times New Roman" w:cs="Times New Roman"/>
          <w:i/>
          <w:color w:val="000000"/>
          <w:sz w:val="24"/>
          <w:szCs w:val="24"/>
        </w:rPr>
        <w:t>u.s.g</w:t>
      </w:r>
      <w:proofErr w:type="spellEnd"/>
      <w:r w:rsidRPr="00915CF8">
        <w:rPr>
          <w:rFonts w:ascii="Times New Roman" w:hAnsi="Times New Roman" w:cs="Times New Roman"/>
          <w:i/>
          <w:color w:val="000000"/>
          <w:sz w:val="24"/>
          <w:szCs w:val="24"/>
        </w:rPr>
        <w:t>. uchwały nie mogą więc wkraczać w zakres kompetencji należnych ustawowo wójtowi z mocy ustawy, naruszałoby to bowiem ustawowy podział kompetencji pomiędzy organami gminy</w:t>
      </w:r>
      <w:r w:rsidR="00915CF8">
        <w:rPr>
          <w:rFonts w:ascii="Times New Roman" w:hAnsi="Times New Roman" w:cs="Times New Roman"/>
          <w:color w:val="000000"/>
          <w:sz w:val="24"/>
          <w:szCs w:val="24"/>
        </w:rPr>
        <w:t xml:space="preserve"> </w:t>
      </w:r>
      <w:r w:rsidRPr="00CB011C">
        <w:rPr>
          <w:rFonts w:ascii="Times New Roman" w:hAnsi="Times New Roman" w:cs="Times New Roman"/>
          <w:color w:val="000000"/>
          <w:sz w:val="24"/>
          <w:szCs w:val="24"/>
        </w:rPr>
        <w:t>(wyrok NSA z 19.09.2017 r., II GSK 3514/15</w:t>
      </w:r>
      <w:r w:rsidR="00F11CBC">
        <w:rPr>
          <w:rFonts w:ascii="Times New Roman" w:hAnsi="Times New Roman" w:cs="Times New Roman"/>
          <w:color w:val="000000"/>
          <w:sz w:val="24"/>
          <w:szCs w:val="24"/>
        </w:rPr>
        <w:t xml:space="preserve">, opublikowane LEX nr </w:t>
      </w:r>
      <w:r w:rsidR="00F11CBC" w:rsidRPr="00F11CBC">
        <w:rPr>
          <w:rFonts w:ascii="Times New Roman" w:hAnsi="Times New Roman" w:cs="Times New Roman"/>
          <w:color w:val="000000"/>
          <w:sz w:val="24"/>
          <w:szCs w:val="24"/>
        </w:rPr>
        <w:t>2404511</w:t>
      </w:r>
      <w:r w:rsidRPr="00CB011C">
        <w:rPr>
          <w:rFonts w:ascii="Times New Roman" w:hAnsi="Times New Roman" w:cs="Times New Roman"/>
          <w:color w:val="000000"/>
          <w:sz w:val="24"/>
          <w:szCs w:val="24"/>
        </w:rPr>
        <w:t>).</w:t>
      </w:r>
    </w:p>
    <w:p w14:paraId="19C635DA" w14:textId="77777777" w:rsidR="002D114A" w:rsidRPr="00CB011C" w:rsidRDefault="002D114A" w:rsidP="00915CF8">
      <w:pPr>
        <w:spacing w:before="120" w:after="120" w:line="276" w:lineRule="auto"/>
        <w:ind w:firstLine="708"/>
        <w:jc w:val="both"/>
        <w:rPr>
          <w:rFonts w:ascii="Times New Roman" w:hAnsi="Times New Roman" w:cs="Times New Roman"/>
          <w:color w:val="000000"/>
          <w:sz w:val="24"/>
          <w:szCs w:val="24"/>
        </w:rPr>
      </w:pPr>
      <w:r w:rsidRPr="00CB011C">
        <w:rPr>
          <w:rFonts w:ascii="Times New Roman" w:hAnsi="Times New Roman" w:cs="Times New Roman"/>
          <w:color w:val="000000"/>
          <w:sz w:val="24"/>
          <w:szCs w:val="24"/>
        </w:rPr>
        <w:t xml:space="preserve">W art. 30 ust. 2 pkt. 2 </w:t>
      </w:r>
      <w:proofErr w:type="spellStart"/>
      <w:r w:rsidRPr="00CB011C">
        <w:rPr>
          <w:rFonts w:ascii="Times New Roman" w:hAnsi="Times New Roman" w:cs="Times New Roman"/>
          <w:color w:val="000000"/>
          <w:sz w:val="24"/>
          <w:szCs w:val="24"/>
        </w:rPr>
        <w:t>u.s.g</w:t>
      </w:r>
      <w:proofErr w:type="spellEnd"/>
      <w:r w:rsidRPr="00CB011C">
        <w:rPr>
          <w:rFonts w:ascii="Times New Roman" w:hAnsi="Times New Roman" w:cs="Times New Roman"/>
          <w:color w:val="000000"/>
          <w:sz w:val="24"/>
          <w:szCs w:val="24"/>
        </w:rPr>
        <w:t xml:space="preserve">. przewidziano, że do zadań wójta należy w szczególności określanie sposobu wykonywania uchwał rady gminy. Określenie przez organ wykonawczy sposobu wykonania uchwały rady obejmować może </w:t>
      </w:r>
      <w:r>
        <w:rPr>
          <w:rFonts w:ascii="Times New Roman" w:hAnsi="Times New Roman" w:cs="Times New Roman"/>
          <w:color w:val="000000"/>
          <w:sz w:val="24"/>
          <w:szCs w:val="24"/>
        </w:rPr>
        <w:t>wskazanie środków finansowych i </w:t>
      </w:r>
      <w:r w:rsidRPr="00CB011C">
        <w:rPr>
          <w:rFonts w:ascii="Times New Roman" w:hAnsi="Times New Roman" w:cs="Times New Roman"/>
          <w:color w:val="000000"/>
          <w:sz w:val="24"/>
          <w:szCs w:val="24"/>
        </w:rPr>
        <w:t xml:space="preserve">rzeczowych koniecznych do wykonania uchwały, ustalenie harmonogramu jej realizacji, wyznaczenie osób odpowiedzialnych za wykonanie uchwały lub poszczególnych jej elementów itp. A zatem do kompetencji wójta (burmistrza, prezydenta miasta) należy podejmowanie decyzji przez kogo, w jakich terminach i za pomocą jakich środków oraz w jakim trybie mają być realizowane zadania wynikające z uchwały rady. Podejmowana na podstawie art. 18 ust. 2 pkt 2 </w:t>
      </w:r>
      <w:proofErr w:type="spellStart"/>
      <w:r w:rsidRPr="00CB011C">
        <w:rPr>
          <w:rFonts w:ascii="Times New Roman" w:hAnsi="Times New Roman" w:cs="Times New Roman"/>
          <w:color w:val="000000"/>
          <w:sz w:val="24"/>
          <w:szCs w:val="24"/>
        </w:rPr>
        <w:t>u.s.g</w:t>
      </w:r>
      <w:proofErr w:type="spellEnd"/>
      <w:r w:rsidRPr="00CB011C">
        <w:rPr>
          <w:rFonts w:ascii="Times New Roman" w:hAnsi="Times New Roman" w:cs="Times New Roman"/>
          <w:color w:val="000000"/>
          <w:sz w:val="24"/>
          <w:szCs w:val="24"/>
        </w:rPr>
        <w:t>. tzw. uchwała kierunkowa może bowiem wskazać priorytety, którymi organ wykonawczy powinien się kierować podczas wykonywania uchwały. Na podstawie tego upoważnienia ustawowego rada gminy nie może natomiast nakazywać organowi wykonawczemu stosowania konkretnych rozwiązań prawnych ani też narzucać sposobu załatwienia konkretnej sprawy. Tego rodzaju uchwały nie mogą zatem nakazywać organowi wykonawczemu określonych konkretnych zachowań, ani też obligować go do określonych konkretnych działań.</w:t>
      </w:r>
    </w:p>
    <w:p w14:paraId="56616F1C" w14:textId="591457CF" w:rsidR="002D114A" w:rsidRDefault="002D114A" w:rsidP="00915CF8">
      <w:pPr>
        <w:spacing w:before="120" w:after="120" w:line="276" w:lineRule="auto"/>
        <w:ind w:firstLine="709"/>
        <w:jc w:val="both"/>
        <w:rPr>
          <w:rFonts w:ascii="Times New Roman" w:hAnsi="Times New Roman" w:cs="Times New Roman"/>
          <w:color w:val="000000"/>
          <w:sz w:val="24"/>
          <w:szCs w:val="24"/>
        </w:rPr>
      </w:pPr>
      <w:r w:rsidRPr="00BF127A">
        <w:rPr>
          <w:rFonts w:ascii="Times New Roman" w:hAnsi="Times New Roman" w:cs="Times New Roman"/>
          <w:sz w:val="24"/>
          <w:szCs w:val="24"/>
        </w:rPr>
        <w:t>Dlatego wydaje się wątpliwym zawarte w §1 oceniane</w:t>
      </w:r>
      <w:r w:rsidR="00B73847">
        <w:rPr>
          <w:rFonts w:ascii="Times New Roman" w:hAnsi="Times New Roman" w:cs="Times New Roman"/>
          <w:sz w:val="24"/>
          <w:szCs w:val="24"/>
        </w:rPr>
        <w:t>go projektu</w:t>
      </w:r>
      <w:r w:rsidRPr="00BF127A">
        <w:rPr>
          <w:rFonts w:ascii="Times New Roman" w:hAnsi="Times New Roman" w:cs="Times New Roman"/>
          <w:sz w:val="24"/>
          <w:szCs w:val="24"/>
        </w:rPr>
        <w:t xml:space="preserve"> uchwały zobowiązanie Prezydenta Miasta Krakowa do podjęcia wskazanych tam konkretnych działań. Rada Miasta w</w:t>
      </w:r>
      <w:r w:rsidR="00F01F9C">
        <w:rPr>
          <w:rFonts w:ascii="Times New Roman" w:hAnsi="Times New Roman" w:cs="Times New Roman"/>
          <w:sz w:val="24"/>
          <w:szCs w:val="24"/>
        </w:rPr>
        <w:t> </w:t>
      </w:r>
      <w:r w:rsidRPr="00BF127A">
        <w:rPr>
          <w:rFonts w:ascii="Times New Roman" w:hAnsi="Times New Roman" w:cs="Times New Roman"/>
          <w:sz w:val="24"/>
          <w:szCs w:val="24"/>
        </w:rPr>
        <w:t>ten sposób nałożyłaby na organ wykonawczy gminy konkretny obowiązek, który miałby dać efekt w formie określonej w tych przepisach.</w:t>
      </w:r>
      <w:r w:rsidR="00E721CA">
        <w:rPr>
          <w:rFonts w:ascii="Times New Roman" w:hAnsi="Times New Roman" w:cs="Times New Roman"/>
          <w:sz w:val="24"/>
          <w:szCs w:val="24"/>
        </w:rPr>
        <w:t xml:space="preserve"> </w:t>
      </w:r>
      <w:r w:rsidRPr="00CB011C">
        <w:rPr>
          <w:rFonts w:ascii="Times New Roman" w:hAnsi="Times New Roman" w:cs="Times New Roman"/>
          <w:color w:val="000000"/>
          <w:sz w:val="24"/>
          <w:szCs w:val="24"/>
        </w:rPr>
        <w:t xml:space="preserve">W tym stanie rzeczy należy uznać, że w przypadku podjęcia przedmiotowej </w:t>
      </w:r>
      <w:r>
        <w:rPr>
          <w:rFonts w:ascii="Times New Roman" w:hAnsi="Times New Roman" w:cs="Times New Roman"/>
          <w:color w:val="000000"/>
          <w:sz w:val="24"/>
          <w:szCs w:val="24"/>
        </w:rPr>
        <w:t>uchwał</w:t>
      </w:r>
      <w:r w:rsidRPr="00CB011C">
        <w:rPr>
          <w:rFonts w:ascii="Times New Roman" w:hAnsi="Times New Roman" w:cs="Times New Roman"/>
          <w:color w:val="000000"/>
          <w:sz w:val="24"/>
          <w:szCs w:val="24"/>
        </w:rPr>
        <w:t xml:space="preserve">y Rada Miasta Krakowa, wykroczy poza zakres upoważnienia ustawowego zawartego w art. 18 ust. 2 pkt 2 </w:t>
      </w:r>
      <w:proofErr w:type="spellStart"/>
      <w:r w:rsidRPr="00CB011C">
        <w:rPr>
          <w:rFonts w:ascii="Times New Roman" w:hAnsi="Times New Roman" w:cs="Times New Roman"/>
          <w:color w:val="000000"/>
          <w:sz w:val="24"/>
          <w:szCs w:val="24"/>
        </w:rPr>
        <w:t>u.s.g</w:t>
      </w:r>
      <w:proofErr w:type="spellEnd"/>
      <w:r w:rsidRPr="00CB011C">
        <w:rPr>
          <w:rFonts w:ascii="Times New Roman" w:hAnsi="Times New Roman" w:cs="Times New Roman"/>
          <w:color w:val="000000"/>
          <w:sz w:val="24"/>
          <w:szCs w:val="24"/>
        </w:rPr>
        <w:t>.</w:t>
      </w:r>
    </w:p>
    <w:p w14:paraId="72F26621" w14:textId="3D570349" w:rsidR="00B33A97" w:rsidRDefault="008A0069" w:rsidP="00915CF8">
      <w:pPr>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Odnosząc się natomiast do §2 </w:t>
      </w:r>
      <w:r w:rsidR="00915CF8">
        <w:rPr>
          <w:rFonts w:ascii="Times New Roman" w:hAnsi="Times New Roman" w:cs="Times New Roman"/>
          <w:sz w:val="24"/>
          <w:szCs w:val="24"/>
        </w:rPr>
        <w:t xml:space="preserve">projektu </w:t>
      </w:r>
      <w:r w:rsidR="00C9241F">
        <w:rPr>
          <w:rFonts w:ascii="Times New Roman" w:hAnsi="Times New Roman" w:cs="Times New Roman"/>
          <w:sz w:val="24"/>
          <w:szCs w:val="24"/>
        </w:rPr>
        <w:t xml:space="preserve">uchwały, </w:t>
      </w:r>
      <w:r>
        <w:rPr>
          <w:rFonts w:ascii="Times New Roman" w:hAnsi="Times New Roman" w:cs="Times New Roman"/>
          <w:sz w:val="24"/>
          <w:szCs w:val="24"/>
        </w:rPr>
        <w:t xml:space="preserve">w którym </w:t>
      </w:r>
      <w:r w:rsidR="00B73847">
        <w:rPr>
          <w:rFonts w:ascii="Times New Roman" w:hAnsi="Times New Roman" w:cs="Times New Roman"/>
          <w:sz w:val="24"/>
          <w:szCs w:val="24"/>
        </w:rPr>
        <w:t>zawarto</w:t>
      </w:r>
      <w:r>
        <w:rPr>
          <w:rFonts w:ascii="Times New Roman" w:hAnsi="Times New Roman" w:cs="Times New Roman"/>
          <w:sz w:val="24"/>
          <w:szCs w:val="24"/>
        </w:rPr>
        <w:t xml:space="preserve"> </w:t>
      </w:r>
      <w:r w:rsidR="00BF127A" w:rsidRPr="00BF127A">
        <w:rPr>
          <w:rFonts w:ascii="Times New Roman" w:hAnsi="Times New Roman" w:cs="Times New Roman"/>
          <w:sz w:val="24"/>
          <w:szCs w:val="24"/>
        </w:rPr>
        <w:t>przepis mówiący o</w:t>
      </w:r>
      <w:r w:rsidR="00F01F9C">
        <w:rPr>
          <w:rFonts w:ascii="Times New Roman" w:hAnsi="Times New Roman" w:cs="Times New Roman"/>
          <w:sz w:val="24"/>
          <w:szCs w:val="24"/>
        </w:rPr>
        <w:t> </w:t>
      </w:r>
      <w:r w:rsidR="00BF127A" w:rsidRPr="00BF127A">
        <w:rPr>
          <w:rFonts w:ascii="Times New Roman" w:hAnsi="Times New Roman" w:cs="Times New Roman"/>
          <w:sz w:val="24"/>
          <w:szCs w:val="24"/>
        </w:rPr>
        <w:t>stosowaniu wykładni autentycznej w razie zaistnienia wątpliwości interpretacyjnych</w:t>
      </w:r>
      <w:r>
        <w:rPr>
          <w:rFonts w:ascii="Times New Roman" w:hAnsi="Times New Roman" w:cs="Times New Roman"/>
          <w:sz w:val="24"/>
          <w:szCs w:val="24"/>
        </w:rPr>
        <w:t xml:space="preserve"> </w:t>
      </w:r>
      <w:r w:rsidR="009D0B79" w:rsidRPr="00906163">
        <w:rPr>
          <w:rFonts w:ascii="Times New Roman" w:hAnsi="Times New Roman" w:cs="Times New Roman"/>
          <w:sz w:val="24"/>
          <w:szCs w:val="24"/>
        </w:rPr>
        <w:t xml:space="preserve">wyjaśniam, iż w mojej ocenie brak podstawy prawnej do podejmowania przez radę gminy uchwał o treści odpowiadającej </w:t>
      </w:r>
      <w:r w:rsidR="009D0B79" w:rsidRPr="00F01F9C">
        <w:rPr>
          <w:rFonts w:ascii="Times New Roman" w:hAnsi="Times New Roman" w:cs="Times New Roman"/>
          <w:sz w:val="24"/>
          <w:szCs w:val="24"/>
        </w:rPr>
        <w:t>pojęciu wykładni autentycznej oficjalnej w rozumieniu, jakie przypisuje tej metodzie wykładni ogólna teoria prawa (ten sam organ, który stanowi przepisy, dokonuje ich interpretacji z mocą wiążącą), z wyłączeniem definicji legalnych. Znajduje to</w:t>
      </w:r>
      <w:r w:rsidR="00F01F9C">
        <w:rPr>
          <w:rFonts w:ascii="Times New Roman" w:hAnsi="Times New Roman" w:cs="Times New Roman"/>
          <w:sz w:val="24"/>
          <w:szCs w:val="24"/>
        </w:rPr>
        <w:t> </w:t>
      </w:r>
      <w:r w:rsidR="009D0B79" w:rsidRPr="00F01F9C">
        <w:rPr>
          <w:rFonts w:ascii="Times New Roman" w:hAnsi="Times New Roman" w:cs="Times New Roman"/>
          <w:sz w:val="24"/>
          <w:szCs w:val="24"/>
        </w:rPr>
        <w:t>uzasadnienie w szczególności w zasadzie trójpodziału władz oraz wynika z konieczności respektowania konstytucyjnej zasady praworządności (legalizmu), ponieważ stanowienie i</w:t>
      </w:r>
      <w:r w:rsidR="00F01F9C" w:rsidRPr="00F01F9C">
        <w:rPr>
          <w:rFonts w:ascii="Times New Roman" w:hAnsi="Times New Roman" w:cs="Times New Roman"/>
          <w:sz w:val="24"/>
          <w:szCs w:val="24"/>
        </w:rPr>
        <w:t> </w:t>
      </w:r>
      <w:r w:rsidR="009D0B79" w:rsidRPr="00F01F9C">
        <w:rPr>
          <w:rFonts w:ascii="Times New Roman" w:hAnsi="Times New Roman" w:cs="Times New Roman"/>
          <w:sz w:val="24"/>
          <w:szCs w:val="24"/>
        </w:rPr>
        <w:t xml:space="preserve">wyjaśnianie ustanowionych norm z mocą wiążącą skupione w kompetencji jednego organu nie tyle wykracza poza zakres wspomnianej zasady, ile pozostaje z nią w jaskrawej sprzeczności (J. Chmielewski, Wykładnia autentyczna w praktyce orzeczniczej sądów administracyjnych, opublikowano ZNSA 2015/3/45-63). </w:t>
      </w:r>
      <w:r w:rsidR="00B33A97" w:rsidRPr="00906163">
        <w:rPr>
          <w:rFonts w:ascii="Times New Roman" w:hAnsi="Times New Roman" w:cs="Times New Roman"/>
          <w:sz w:val="24"/>
          <w:szCs w:val="24"/>
        </w:rPr>
        <w:t xml:space="preserve">Przepis §2 </w:t>
      </w:r>
      <w:r w:rsidRPr="00906163">
        <w:rPr>
          <w:rFonts w:ascii="Times New Roman" w:hAnsi="Times New Roman" w:cs="Times New Roman"/>
          <w:sz w:val="24"/>
          <w:szCs w:val="24"/>
        </w:rPr>
        <w:t xml:space="preserve"> jest </w:t>
      </w:r>
      <w:r w:rsidR="00B33A97" w:rsidRPr="00906163">
        <w:rPr>
          <w:rFonts w:ascii="Times New Roman" w:hAnsi="Times New Roman" w:cs="Times New Roman"/>
          <w:sz w:val="24"/>
          <w:szCs w:val="24"/>
        </w:rPr>
        <w:t>zatem w</w:t>
      </w:r>
      <w:r w:rsidR="00BF127A" w:rsidRPr="00906163">
        <w:rPr>
          <w:rFonts w:ascii="Times New Roman" w:hAnsi="Times New Roman" w:cs="Times New Roman"/>
          <w:sz w:val="24"/>
          <w:szCs w:val="24"/>
        </w:rPr>
        <w:t xml:space="preserve"> istocie przepisem martwym i nie będzie</w:t>
      </w:r>
      <w:r w:rsidR="00BF127A" w:rsidRPr="00BF127A">
        <w:rPr>
          <w:rFonts w:ascii="Times New Roman" w:hAnsi="Times New Roman" w:cs="Times New Roman"/>
          <w:sz w:val="24"/>
          <w:szCs w:val="24"/>
        </w:rPr>
        <w:t xml:space="preserve"> w jakikolwiek sposób san</w:t>
      </w:r>
      <w:r w:rsidR="00AA6BF5">
        <w:rPr>
          <w:rFonts w:ascii="Times New Roman" w:hAnsi="Times New Roman" w:cs="Times New Roman"/>
          <w:sz w:val="24"/>
          <w:szCs w:val="24"/>
        </w:rPr>
        <w:t>kcjono</w:t>
      </w:r>
      <w:r w:rsidR="00BF127A" w:rsidRPr="00BF127A">
        <w:rPr>
          <w:rFonts w:ascii="Times New Roman" w:hAnsi="Times New Roman" w:cs="Times New Roman"/>
          <w:sz w:val="24"/>
          <w:szCs w:val="24"/>
        </w:rPr>
        <w:t xml:space="preserve">wał nieprawidłowości ocenianej uchwały. </w:t>
      </w:r>
    </w:p>
    <w:p w14:paraId="41FCAC2F" w14:textId="4E5AF6AA" w:rsidR="00BF127A" w:rsidRDefault="00B33A97" w:rsidP="00915CF8">
      <w:pPr>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Poza tym należy zauważyć, iż </w:t>
      </w:r>
      <w:r w:rsidR="00BF127A" w:rsidRPr="00BF127A">
        <w:rPr>
          <w:rFonts w:ascii="Times New Roman" w:hAnsi="Times New Roman" w:cs="Times New Roman"/>
          <w:sz w:val="24"/>
          <w:szCs w:val="24"/>
        </w:rPr>
        <w:t>konieczność stosowania wykładni może wynikać z</w:t>
      </w:r>
      <w:r w:rsidR="00F01F9C">
        <w:rPr>
          <w:rFonts w:ascii="Times New Roman" w:hAnsi="Times New Roman" w:cs="Times New Roman"/>
          <w:sz w:val="24"/>
          <w:szCs w:val="24"/>
        </w:rPr>
        <w:t> </w:t>
      </w:r>
      <w:r w:rsidR="00BF127A" w:rsidRPr="00BF127A">
        <w:rPr>
          <w:rFonts w:ascii="Times New Roman" w:hAnsi="Times New Roman" w:cs="Times New Roman"/>
          <w:sz w:val="24"/>
          <w:szCs w:val="24"/>
        </w:rPr>
        <w:t>różnych przyczyn, a</w:t>
      </w:r>
      <w:r w:rsidR="008A0069">
        <w:rPr>
          <w:rFonts w:ascii="Times New Roman" w:hAnsi="Times New Roman" w:cs="Times New Roman"/>
          <w:sz w:val="24"/>
          <w:szCs w:val="24"/>
        </w:rPr>
        <w:t> </w:t>
      </w:r>
      <w:r w:rsidR="00BF127A" w:rsidRPr="00BF127A">
        <w:rPr>
          <w:rFonts w:ascii="Times New Roman" w:hAnsi="Times New Roman" w:cs="Times New Roman"/>
          <w:sz w:val="24"/>
          <w:szCs w:val="24"/>
        </w:rPr>
        <w:t xml:space="preserve">zwłaszcza z potrzeby usunięcia wieloznaczności wyrażeń, rozbieżności </w:t>
      </w:r>
      <w:r w:rsidR="00BF127A" w:rsidRPr="00BF127A">
        <w:rPr>
          <w:rFonts w:ascii="Times New Roman" w:hAnsi="Times New Roman" w:cs="Times New Roman"/>
          <w:sz w:val="24"/>
          <w:szCs w:val="24"/>
        </w:rPr>
        <w:lastRenderedPageBreak/>
        <w:t xml:space="preserve">sformułowań, określenia niezbyt precyzyjnych wypowiedzi czy usunięcia kolizji norm prawnych (T. </w:t>
      </w:r>
      <w:proofErr w:type="spellStart"/>
      <w:r w:rsidR="00BF127A" w:rsidRPr="00BF127A">
        <w:rPr>
          <w:rFonts w:ascii="Times New Roman" w:hAnsi="Times New Roman" w:cs="Times New Roman"/>
          <w:sz w:val="24"/>
          <w:szCs w:val="24"/>
        </w:rPr>
        <w:t>Leśko</w:t>
      </w:r>
      <w:proofErr w:type="spellEnd"/>
      <w:r w:rsidR="00BF127A" w:rsidRPr="00BF127A">
        <w:rPr>
          <w:rFonts w:ascii="Times New Roman" w:hAnsi="Times New Roman" w:cs="Times New Roman"/>
          <w:sz w:val="24"/>
          <w:szCs w:val="24"/>
        </w:rPr>
        <w:t xml:space="preserve"> (w:) T. </w:t>
      </w:r>
      <w:proofErr w:type="spellStart"/>
      <w:r w:rsidR="00BF127A" w:rsidRPr="00BF127A">
        <w:rPr>
          <w:rFonts w:ascii="Times New Roman" w:hAnsi="Times New Roman" w:cs="Times New Roman"/>
          <w:sz w:val="24"/>
          <w:szCs w:val="24"/>
        </w:rPr>
        <w:t>Leśko</w:t>
      </w:r>
      <w:proofErr w:type="spellEnd"/>
      <w:r w:rsidR="00BF127A" w:rsidRPr="00BF127A">
        <w:rPr>
          <w:rFonts w:ascii="Times New Roman" w:hAnsi="Times New Roman" w:cs="Times New Roman"/>
          <w:sz w:val="24"/>
          <w:szCs w:val="24"/>
        </w:rPr>
        <w:t xml:space="preserve">, M. Szadkowski, E. Wisłocki, </w:t>
      </w:r>
      <w:r w:rsidR="00BF127A" w:rsidRPr="007564B1">
        <w:rPr>
          <w:rFonts w:ascii="Times New Roman" w:hAnsi="Times New Roman" w:cs="Times New Roman"/>
          <w:i/>
          <w:sz w:val="24"/>
          <w:szCs w:val="24"/>
        </w:rPr>
        <w:t>Prawoznawstwo</w:t>
      </w:r>
      <w:r w:rsidR="00BF127A" w:rsidRPr="00BF127A">
        <w:rPr>
          <w:rFonts w:ascii="Times New Roman" w:hAnsi="Times New Roman" w:cs="Times New Roman"/>
          <w:sz w:val="24"/>
          <w:szCs w:val="24"/>
        </w:rPr>
        <w:t>, Warszawa 1979, s. 18). Za</w:t>
      </w:r>
      <w:r w:rsidR="00132882">
        <w:rPr>
          <w:rFonts w:ascii="Times New Roman" w:hAnsi="Times New Roman" w:cs="Times New Roman"/>
          <w:sz w:val="24"/>
          <w:szCs w:val="24"/>
        </w:rPr>
        <w:t> </w:t>
      </w:r>
      <w:r w:rsidR="00BF127A" w:rsidRPr="00BF127A">
        <w:rPr>
          <w:rFonts w:ascii="Times New Roman" w:hAnsi="Times New Roman" w:cs="Times New Roman"/>
          <w:sz w:val="24"/>
          <w:szCs w:val="24"/>
        </w:rPr>
        <w:t>stosowaniem wykładni przemawiają zasadniczo trojakiego rodzaju racje, a</w:t>
      </w:r>
      <w:r w:rsidR="00132882">
        <w:rPr>
          <w:rFonts w:ascii="Times New Roman" w:hAnsi="Times New Roman" w:cs="Times New Roman"/>
          <w:sz w:val="24"/>
          <w:szCs w:val="24"/>
        </w:rPr>
        <w:t> </w:t>
      </w:r>
      <w:r w:rsidR="00BF127A" w:rsidRPr="00BF127A">
        <w:rPr>
          <w:rFonts w:ascii="Times New Roman" w:hAnsi="Times New Roman" w:cs="Times New Roman"/>
          <w:sz w:val="24"/>
          <w:szCs w:val="24"/>
        </w:rPr>
        <w:t>to</w:t>
      </w:r>
      <w:r w:rsidR="00132882">
        <w:rPr>
          <w:rFonts w:ascii="Times New Roman" w:hAnsi="Times New Roman" w:cs="Times New Roman"/>
          <w:sz w:val="24"/>
          <w:szCs w:val="24"/>
        </w:rPr>
        <w:t> </w:t>
      </w:r>
      <w:r w:rsidR="00BF127A" w:rsidRPr="00BF127A">
        <w:rPr>
          <w:rFonts w:ascii="Times New Roman" w:hAnsi="Times New Roman" w:cs="Times New Roman"/>
          <w:sz w:val="24"/>
          <w:szCs w:val="24"/>
        </w:rPr>
        <w:t>(1)</w:t>
      </w:r>
      <w:r w:rsidR="00132882">
        <w:rPr>
          <w:rFonts w:ascii="Times New Roman" w:hAnsi="Times New Roman" w:cs="Times New Roman"/>
          <w:sz w:val="24"/>
          <w:szCs w:val="24"/>
        </w:rPr>
        <w:t> </w:t>
      </w:r>
      <w:r w:rsidR="00BF127A" w:rsidRPr="00BF127A">
        <w:rPr>
          <w:rFonts w:ascii="Times New Roman" w:hAnsi="Times New Roman" w:cs="Times New Roman"/>
          <w:sz w:val="24"/>
          <w:szCs w:val="24"/>
        </w:rPr>
        <w:t>lingwistyczne,</w:t>
      </w:r>
      <w:r w:rsidR="00915CF8">
        <w:rPr>
          <w:rFonts w:ascii="Times New Roman" w:hAnsi="Times New Roman" w:cs="Times New Roman"/>
          <w:sz w:val="24"/>
          <w:szCs w:val="24"/>
        </w:rPr>
        <w:t xml:space="preserve"> </w:t>
      </w:r>
      <w:r w:rsidR="00BF127A" w:rsidRPr="00BF127A">
        <w:rPr>
          <w:rFonts w:ascii="Times New Roman" w:hAnsi="Times New Roman" w:cs="Times New Roman"/>
          <w:sz w:val="24"/>
          <w:szCs w:val="24"/>
        </w:rPr>
        <w:t>(2)</w:t>
      </w:r>
      <w:r w:rsidR="00915CF8">
        <w:rPr>
          <w:rFonts w:ascii="Times New Roman" w:hAnsi="Times New Roman" w:cs="Times New Roman"/>
          <w:sz w:val="24"/>
          <w:szCs w:val="24"/>
        </w:rPr>
        <w:t xml:space="preserve"> </w:t>
      </w:r>
      <w:r w:rsidR="00BF127A" w:rsidRPr="00BF127A">
        <w:rPr>
          <w:rFonts w:ascii="Times New Roman" w:hAnsi="Times New Roman" w:cs="Times New Roman"/>
          <w:sz w:val="24"/>
          <w:szCs w:val="24"/>
        </w:rPr>
        <w:t xml:space="preserve">systemowe oraz (3) funkcjonalne (por. L. Morawski, </w:t>
      </w:r>
      <w:r w:rsidR="00BF127A" w:rsidRPr="007564B1">
        <w:rPr>
          <w:rFonts w:ascii="Times New Roman" w:hAnsi="Times New Roman" w:cs="Times New Roman"/>
          <w:i/>
          <w:sz w:val="24"/>
          <w:szCs w:val="24"/>
        </w:rPr>
        <w:t>Wstęp do</w:t>
      </w:r>
      <w:r w:rsidR="00132882" w:rsidRPr="007564B1">
        <w:rPr>
          <w:rFonts w:ascii="Times New Roman" w:hAnsi="Times New Roman" w:cs="Times New Roman"/>
          <w:i/>
          <w:sz w:val="24"/>
          <w:szCs w:val="24"/>
        </w:rPr>
        <w:t> </w:t>
      </w:r>
      <w:r w:rsidR="00BF127A" w:rsidRPr="007564B1">
        <w:rPr>
          <w:rFonts w:ascii="Times New Roman" w:hAnsi="Times New Roman" w:cs="Times New Roman"/>
          <w:i/>
          <w:sz w:val="24"/>
          <w:szCs w:val="24"/>
        </w:rPr>
        <w:t>prawoznawstwa</w:t>
      </w:r>
      <w:r w:rsidR="00BF127A" w:rsidRPr="00BF127A">
        <w:rPr>
          <w:rFonts w:ascii="Times New Roman" w:hAnsi="Times New Roman" w:cs="Times New Roman"/>
          <w:sz w:val="24"/>
          <w:szCs w:val="24"/>
        </w:rPr>
        <w:t>, Toruń 2009, s. 134 i n.). Żadne nie występują jednak w związku z</w:t>
      </w:r>
      <w:r w:rsidR="00132882">
        <w:rPr>
          <w:rFonts w:ascii="Times New Roman" w:hAnsi="Times New Roman" w:cs="Times New Roman"/>
          <w:sz w:val="24"/>
          <w:szCs w:val="24"/>
        </w:rPr>
        <w:t> </w:t>
      </w:r>
      <w:r w:rsidR="00BF127A" w:rsidRPr="00BF127A">
        <w:rPr>
          <w:rFonts w:ascii="Times New Roman" w:hAnsi="Times New Roman" w:cs="Times New Roman"/>
          <w:sz w:val="24"/>
          <w:szCs w:val="24"/>
        </w:rPr>
        <w:t>opiniowan</w:t>
      </w:r>
      <w:r w:rsidR="00B73847">
        <w:rPr>
          <w:rFonts w:ascii="Times New Roman" w:hAnsi="Times New Roman" w:cs="Times New Roman"/>
          <w:sz w:val="24"/>
          <w:szCs w:val="24"/>
        </w:rPr>
        <w:t>ym projektem</w:t>
      </w:r>
      <w:r w:rsidR="00BF127A" w:rsidRPr="00BF127A">
        <w:rPr>
          <w:rFonts w:ascii="Times New Roman" w:hAnsi="Times New Roman" w:cs="Times New Roman"/>
          <w:sz w:val="24"/>
          <w:szCs w:val="24"/>
        </w:rPr>
        <w:t xml:space="preserve"> uchwał</w:t>
      </w:r>
      <w:r w:rsidR="00B73847">
        <w:rPr>
          <w:rFonts w:ascii="Times New Roman" w:hAnsi="Times New Roman" w:cs="Times New Roman"/>
          <w:sz w:val="24"/>
          <w:szCs w:val="24"/>
        </w:rPr>
        <w:t>y</w:t>
      </w:r>
      <w:r w:rsidR="00BF127A" w:rsidRPr="00BF127A">
        <w:rPr>
          <w:rFonts w:ascii="Times New Roman" w:hAnsi="Times New Roman" w:cs="Times New Roman"/>
          <w:sz w:val="24"/>
          <w:szCs w:val="24"/>
        </w:rPr>
        <w:t xml:space="preserve">. Pierwsze z nich (1) koncentrują się na niedoskonałościach języka prawnego, który jest specjalistyczną wersją języka potocznego, obarczonym wszelkimi jego niedoskonałościami, takimi jak np. pojęcia nieostre i wieloznaczne. W treści uchwały takowe nie występują. Po drugie, (2) nie występują też w tym przypadku racje systemowe, albowiem podstawa prawna składa się z przepisu jednego tylko aktu prawnego, brak w niej </w:t>
      </w:r>
      <w:proofErr w:type="spellStart"/>
      <w:r w:rsidR="00BF127A" w:rsidRPr="00BF127A">
        <w:rPr>
          <w:rFonts w:ascii="Times New Roman" w:hAnsi="Times New Roman" w:cs="Times New Roman"/>
          <w:sz w:val="24"/>
          <w:szCs w:val="24"/>
        </w:rPr>
        <w:t>odwołań</w:t>
      </w:r>
      <w:proofErr w:type="spellEnd"/>
      <w:r w:rsidR="00BF127A" w:rsidRPr="00BF127A">
        <w:rPr>
          <w:rFonts w:ascii="Times New Roman" w:hAnsi="Times New Roman" w:cs="Times New Roman"/>
          <w:sz w:val="24"/>
          <w:szCs w:val="24"/>
        </w:rPr>
        <w:t xml:space="preserve"> do</w:t>
      </w:r>
      <w:r w:rsidR="00132882">
        <w:rPr>
          <w:rFonts w:ascii="Times New Roman" w:hAnsi="Times New Roman" w:cs="Times New Roman"/>
          <w:sz w:val="24"/>
          <w:szCs w:val="24"/>
        </w:rPr>
        <w:t> </w:t>
      </w:r>
      <w:r w:rsidR="00BF127A" w:rsidRPr="00BF127A">
        <w:rPr>
          <w:rFonts w:ascii="Times New Roman" w:hAnsi="Times New Roman" w:cs="Times New Roman"/>
          <w:sz w:val="24"/>
          <w:szCs w:val="24"/>
        </w:rPr>
        <w:t>innych aktów, reguluje ona dość prostą materię, która raczej pozbawiona jest szerszego kontekstu systemowego.</w:t>
      </w:r>
    </w:p>
    <w:p w14:paraId="15666A35" w14:textId="63AB50CC" w:rsidR="00BF127A" w:rsidRDefault="00BF127A" w:rsidP="00915CF8">
      <w:pPr>
        <w:spacing w:before="120" w:after="120" w:line="276" w:lineRule="auto"/>
        <w:ind w:firstLine="709"/>
        <w:jc w:val="both"/>
        <w:rPr>
          <w:rFonts w:ascii="Times New Roman" w:hAnsi="Times New Roman" w:cs="Times New Roman"/>
          <w:sz w:val="24"/>
          <w:szCs w:val="24"/>
        </w:rPr>
      </w:pPr>
      <w:r w:rsidRPr="00BF127A">
        <w:rPr>
          <w:rFonts w:ascii="Times New Roman" w:hAnsi="Times New Roman" w:cs="Times New Roman"/>
          <w:sz w:val="24"/>
          <w:szCs w:val="24"/>
        </w:rPr>
        <w:t>Można więc stwierdzić, że w przypadku opiniowane</w:t>
      </w:r>
      <w:r w:rsidR="00B73847">
        <w:rPr>
          <w:rFonts w:ascii="Times New Roman" w:hAnsi="Times New Roman" w:cs="Times New Roman"/>
          <w:sz w:val="24"/>
          <w:szCs w:val="24"/>
        </w:rPr>
        <w:t>go projektu</w:t>
      </w:r>
      <w:r w:rsidRPr="00BF127A">
        <w:rPr>
          <w:rFonts w:ascii="Times New Roman" w:hAnsi="Times New Roman" w:cs="Times New Roman"/>
          <w:sz w:val="24"/>
          <w:szCs w:val="24"/>
        </w:rPr>
        <w:t xml:space="preserve"> uchwały do procesu zastosowania wykładni może w ogóle nie dojść, albowiem, jak każdy proces, składa się ona z</w:t>
      </w:r>
      <w:r w:rsidR="00132882">
        <w:rPr>
          <w:rFonts w:ascii="Times New Roman" w:hAnsi="Times New Roman" w:cs="Times New Roman"/>
          <w:sz w:val="24"/>
          <w:szCs w:val="24"/>
        </w:rPr>
        <w:t> </w:t>
      </w:r>
      <w:r w:rsidRPr="00BF127A">
        <w:rPr>
          <w:rFonts w:ascii="Times New Roman" w:hAnsi="Times New Roman" w:cs="Times New Roman"/>
          <w:sz w:val="24"/>
          <w:szCs w:val="24"/>
        </w:rPr>
        <w:t xml:space="preserve">charakterystycznych etapów, z których wstępnym jest ustalenie, czy przepis prawny budzi jakiekolwiek wątpliwości (J. Wróblewski, </w:t>
      </w:r>
      <w:r w:rsidRPr="007564B1">
        <w:rPr>
          <w:rFonts w:ascii="Times New Roman" w:hAnsi="Times New Roman" w:cs="Times New Roman"/>
          <w:i/>
          <w:sz w:val="24"/>
          <w:szCs w:val="24"/>
        </w:rPr>
        <w:t>Sądowe stosowanie prawa</w:t>
      </w:r>
      <w:r w:rsidRPr="00BF127A">
        <w:rPr>
          <w:rFonts w:ascii="Times New Roman" w:hAnsi="Times New Roman" w:cs="Times New Roman"/>
          <w:sz w:val="24"/>
          <w:szCs w:val="24"/>
        </w:rPr>
        <w:t xml:space="preserve">, Warszawa 1988, s. 117). Jeżeli więc przepis jest jasny, to w myśli </w:t>
      </w:r>
      <w:proofErr w:type="spellStart"/>
      <w:r w:rsidRPr="00915CF8">
        <w:rPr>
          <w:rFonts w:ascii="Times New Roman" w:hAnsi="Times New Roman" w:cs="Times New Roman"/>
          <w:sz w:val="24"/>
          <w:szCs w:val="24"/>
        </w:rPr>
        <w:t>paremii</w:t>
      </w:r>
      <w:proofErr w:type="spellEnd"/>
      <w:r w:rsidRPr="00915CF8">
        <w:rPr>
          <w:rFonts w:ascii="Times New Roman" w:hAnsi="Times New Roman" w:cs="Times New Roman"/>
          <w:i/>
          <w:sz w:val="24"/>
          <w:szCs w:val="24"/>
        </w:rPr>
        <w:t xml:space="preserve"> </w:t>
      </w:r>
      <w:proofErr w:type="spellStart"/>
      <w:r w:rsidRPr="00915CF8">
        <w:rPr>
          <w:rFonts w:ascii="Times New Roman" w:hAnsi="Times New Roman" w:cs="Times New Roman"/>
          <w:i/>
          <w:sz w:val="24"/>
          <w:szCs w:val="24"/>
        </w:rPr>
        <w:t>clara</w:t>
      </w:r>
      <w:proofErr w:type="spellEnd"/>
      <w:r w:rsidRPr="00915CF8">
        <w:rPr>
          <w:rFonts w:ascii="Times New Roman" w:hAnsi="Times New Roman" w:cs="Times New Roman"/>
          <w:i/>
          <w:sz w:val="24"/>
          <w:szCs w:val="24"/>
        </w:rPr>
        <w:t xml:space="preserve"> non </w:t>
      </w:r>
      <w:proofErr w:type="spellStart"/>
      <w:r w:rsidRPr="00915CF8">
        <w:rPr>
          <w:rFonts w:ascii="Times New Roman" w:hAnsi="Times New Roman" w:cs="Times New Roman"/>
          <w:i/>
          <w:sz w:val="24"/>
          <w:szCs w:val="24"/>
        </w:rPr>
        <w:t>sunt</w:t>
      </w:r>
      <w:proofErr w:type="spellEnd"/>
      <w:r w:rsidRPr="00915CF8">
        <w:rPr>
          <w:rFonts w:ascii="Times New Roman" w:hAnsi="Times New Roman" w:cs="Times New Roman"/>
          <w:i/>
          <w:sz w:val="24"/>
          <w:szCs w:val="24"/>
        </w:rPr>
        <w:t xml:space="preserve"> </w:t>
      </w:r>
      <w:proofErr w:type="spellStart"/>
      <w:r w:rsidRPr="00915CF8">
        <w:rPr>
          <w:rFonts w:ascii="Times New Roman" w:hAnsi="Times New Roman" w:cs="Times New Roman"/>
          <w:i/>
          <w:sz w:val="24"/>
          <w:szCs w:val="24"/>
        </w:rPr>
        <w:t>interpretanda</w:t>
      </w:r>
      <w:proofErr w:type="spellEnd"/>
      <w:r w:rsidRPr="00BF127A">
        <w:rPr>
          <w:rFonts w:ascii="Times New Roman" w:hAnsi="Times New Roman" w:cs="Times New Roman"/>
          <w:sz w:val="24"/>
          <w:szCs w:val="24"/>
        </w:rPr>
        <w:t xml:space="preserve"> nie wymaga interpretacji.</w:t>
      </w:r>
    </w:p>
    <w:p w14:paraId="54442D24" w14:textId="287C2180" w:rsidR="00132882" w:rsidRDefault="00BF127A" w:rsidP="00915CF8">
      <w:pPr>
        <w:spacing w:before="120" w:after="120" w:line="276" w:lineRule="auto"/>
        <w:ind w:firstLine="709"/>
        <w:jc w:val="both"/>
        <w:rPr>
          <w:rFonts w:ascii="Times New Roman" w:hAnsi="Times New Roman" w:cs="Times New Roman"/>
          <w:sz w:val="24"/>
          <w:szCs w:val="24"/>
        </w:rPr>
      </w:pPr>
      <w:r w:rsidRPr="00BF127A">
        <w:rPr>
          <w:rFonts w:ascii="Times New Roman" w:hAnsi="Times New Roman" w:cs="Times New Roman"/>
          <w:sz w:val="24"/>
          <w:szCs w:val="24"/>
        </w:rPr>
        <w:t xml:space="preserve">W tym miejscu należy także zwrócić uwagę na materialnoprawną stronę omawianej problematyki. Przede wszystkim, zgodnie z przepisami § 49 ust. 1 </w:t>
      </w:r>
      <w:r w:rsidR="00FF0467">
        <w:rPr>
          <w:rFonts w:ascii="Times New Roman" w:hAnsi="Times New Roman" w:cs="Times New Roman"/>
          <w:sz w:val="24"/>
          <w:szCs w:val="24"/>
        </w:rPr>
        <w:t>r</w:t>
      </w:r>
      <w:r w:rsidR="00FF0467" w:rsidRPr="00BF127A">
        <w:rPr>
          <w:rFonts w:ascii="Times New Roman" w:hAnsi="Times New Roman" w:cs="Times New Roman"/>
          <w:sz w:val="24"/>
          <w:szCs w:val="24"/>
        </w:rPr>
        <w:t xml:space="preserve">ozporządzenia </w:t>
      </w:r>
      <w:r w:rsidRPr="00BF127A">
        <w:rPr>
          <w:rFonts w:ascii="Times New Roman" w:hAnsi="Times New Roman" w:cs="Times New Roman"/>
          <w:sz w:val="24"/>
          <w:szCs w:val="24"/>
        </w:rPr>
        <w:t xml:space="preserve">Ministrów Infrastruktury </w:t>
      </w:r>
      <w:r w:rsidR="00B33A97">
        <w:rPr>
          <w:rFonts w:ascii="Times New Roman" w:hAnsi="Times New Roman" w:cs="Times New Roman"/>
          <w:sz w:val="24"/>
          <w:szCs w:val="24"/>
        </w:rPr>
        <w:t>o</w:t>
      </w:r>
      <w:r w:rsidR="00B33A97" w:rsidRPr="00BF127A">
        <w:rPr>
          <w:rFonts w:ascii="Times New Roman" w:hAnsi="Times New Roman" w:cs="Times New Roman"/>
          <w:sz w:val="24"/>
          <w:szCs w:val="24"/>
        </w:rPr>
        <w:t xml:space="preserve">raz </w:t>
      </w:r>
      <w:r w:rsidRPr="00BF127A">
        <w:rPr>
          <w:rFonts w:ascii="Times New Roman" w:hAnsi="Times New Roman" w:cs="Times New Roman"/>
          <w:sz w:val="24"/>
          <w:szCs w:val="24"/>
        </w:rPr>
        <w:t xml:space="preserve">Spraw Wewnętrznych i Administracji z dnia 31 lipca 2002 r. </w:t>
      </w:r>
      <w:r w:rsidRPr="00915CF8">
        <w:rPr>
          <w:rFonts w:ascii="Times New Roman" w:hAnsi="Times New Roman" w:cs="Times New Roman"/>
          <w:i/>
          <w:sz w:val="24"/>
          <w:szCs w:val="24"/>
        </w:rPr>
        <w:t xml:space="preserve">w sprawie znaków i sygnałów drogowych </w:t>
      </w:r>
      <w:r w:rsidRPr="00BF127A">
        <w:rPr>
          <w:rFonts w:ascii="Times New Roman" w:hAnsi="Times New Roman" w:cs="Times New Roman"/>
          <w:sz w:val="24"/>
          <w:szCs w:val="24"/>
        </w:rPr>
        <w:t>(Dz.</w:t>
      </w:r>
      <w:r w:rsidR="00960DAD">
        <w:rPr>
          <w:rFonts w:ascii="Times New Roman" w:hAnsi="Times New Roman" w:cs="Times New Roman"/>
          <w:sz w:val="24"/>
          <w:szCs w:val="24"/>
        </w:rPr>
        <w:t> </w:t>
      </w:r>
      <w:r w:rsidRPr="00BF127A">
        <w:rPr>
          <w:rFonts w:ascii="Times New Roman" w:hAnsi="Times New Roman" w:cs="Times New Roman"/>
          <w:sz w:val="24"/>
          <w:szCs w:val="24"/>
        </w:rPr>
        <w:t>U. z 2019 r.</w:t>
      </w:r>
      <w:r w:rsidR="00915CF8">
        <w:rPr>
          <w:rFonts w:ascii="Times New Roman" w:hAnsi="Times New Roman" w:cs="Times New Roman"/>
          <w:sz w:val="24"/>
          <w:szCs w:val="24"/>
        </w:rPr>
        <w:t>,</w:t>
      </w:r>
      <w:r w:rsidRPr="00BF127A">
        <w:rPr>
          <w:rFonts w:ascii="Times New Roman" w:hAnsi="Times New Roman" w:cs="Times New Roman"/>
          <w:sz w:val="24"/>
          <w:szCs w:val="24"/>
        </w:rPr>
        <w:t xml:space="preserve"> poz. 2310 z </w:t>
      </w:r>
      <w:proofErr w:type="spellStart"/>
      <w:r w:rsidRPr="00BF127A">
        <w:rPr>
          <w:rFonts w:ascii="Times New Roman" w:hAnsi="Times New Roman" w:cs="Times New Roman"/>
          <w:sz w:val="24"/>
          <w:szCs w:val="24"/>
        </w:rPr>
        <w:t>późn</w:t>
      </w:r>
      <w:proofErr w:type="spellEnd"/>
      <w:r w:rsidRPr="00BF127A">
        <w:rPr>
          <w:rFonts w:ascii="Times New Roman" w:hAnsi="Times New Roman" w:cs="Times New Roman"/>
          <w:sz w:val="24"/>
          <w:szCs w:val="24"/>
        </w:rPr>
        <w:t xml:space="preserve">. zm.) oraz pkt 5.2.11 i 5.2.12 załącznika nr 1 do </w:t>
      </w:r>
      <w:r w:rsidR="00FF0467">
        <w:rPr>
          <w:rFonts w:ascii="Times New Roman" w:hAnsi="Times New Roman" w:cs="Times New Roman"/>
          <w:sz w:val="24"/>
          <w:szCs w:val="24"/>
        </w:rPr>
        <w:t>r</w:t>
      </w:r>
      <w:r w:rsidR="00FF0467" w:rsidRPr="00BF127A">
        <w:rPr>
          <w:rFonts w:ascii="Times New Roman" w:hAnsi="Times New Roman" w:cs="Times New Roman"/>
          <w:sz w:val="24"/>
          <w:szCs w:val="24"/>
        </w:rPr>
        <w:t xml:space="preserve">ozporządzenia </w:t>
      </w:r>
      <w:r w:rsidRPr="00BF127A">
        <w:rPr>
          <w:rFonts w:ascii="Times New Roman" w:hAnsi="Times New Roman" w:cs="Times New Roman"/>
          <w:sz w:val="24"/>
          <w:szCs w:val="24"/>
        </w:rPr>
        <w:t xml:space="preserve">Ministra Infrastruktury z dnia 3 lipca 2003 r. </w:t>
      </w:r>
      <w:r w:rsidRPr="00915CF8">
        <w:rPr>
          <w:rFonts w:ascii="Times New Roman" w:hAnsi="Times New Roman" w:cs="Times New Roman"/>
          <w:i/>
          <w:sz w:val="24"/>
          <w:szCs w:val="24"/>
        </w:rPr>
        <w:t>w sprawie szczegółowych warunków technicznych dla znaków i sygnałów drogowych oraz urządzeń bezpieczeństwa ruchu drogowego i warunków ich umieszczania na drogach</w:t>
      </w:r>
      <w:r w:rsidRPr="00BF127A">
        <w:rPr>
          <w:rFonts w:ascii="Times New Roman" w:hAnsi="Times New Roman" w:cs="Times New Roman"/>
          <w:sz w:val="24"/>
          <w:szCs w:val="24"/>
        </w:rPr>
        <w:t xml:space="preserve"> (Dz.</w:t>
      </w:r>
      <w:r w:rsidR="00960DAD">
        <w:rPr>
          <w:rFonts w:ascii="Times New Roman" w:hAnsi="Times New Roman" w:cs="Times New Roman"/>
          <w:sz w:val="24"/>
          <w:szCs w:val="24"/>
        </w:rPr>
        <w:t> </w:t>
      </w:r>
      <w:r w:rsidRPr="00BF127A">
        <w:rPr>
          <w:rFonts w:ascii="Times New Roman" w:hAnsi="Times New Roman" w:cs="Times New Roman"/>
          <w:sz w:val="24"/>
          <w:szCs w:val="24"/>
        </w:rPr>
        <w:t>U. z 2019 r.</w:t>
      </w:r>
      <w:r w:rsidR="00915CF8">
        <w:rPr>
          <w:rFonts w:ascii="Times New Roman" w:hAnsi="Times New Roman" w:cs="Times New Roman"/>
          <w:sz w:val="24"/>
          <w:szCs w:val="24"/>
        </w:rPr>
        <w:t xml:space="preserve">, </w:t>
      </w:r>
      <w:r w:rsidRPr="00BF127A">
        <w:rPr>
          <w:rFonts w:ascii="Times New Roman" w:hAnsi="Times New Roman" w:cs="Times New Roman"/>
          <w:sz w:val="24"/>
          <w:szCs w:val="24"/>
        </w:rPr>
        <w:t xml:space="preserve">poz. 2311 z </w:t>
      </w:r>
      <w:proofErr w:type="spellStart"/>
      <w:r w:rsidRPr="00BF127A">
        <w:rPr>
          <w:rFonts w:ascii="Times New Roman" w:hAnsi="Times New Roman" w:cs="Times New Roman"/>
          <w:sz w:val="24"/>
          <w:szCs w:val="24"/>
        </w:rPr>
        <w:t>późn</w:t>
      </w:r>
      <w:proofErr w:type="spellEnd"/>
      <w:r w:rsidRPr="00BF127A">
        <w:rPr>
          <w:rFonts w:ascii="Times New Roman" w:hAnsi="Times New Roman" w:cs="Times New Roman"/>
          <w:sz w:val="24"/>
          <w:szCs w:val="24"/>
        </w:rPr>
        <w:t>. zm.) buspas stanowi docelową infrastrukturę tylko dla autobusów lub trolejbusów oraz innych pojazdów wykonujących odpłatny przewóz osób na regularnych liniach. Prawodawca dopuścił co prawda ruch innych pojazdów po buspasach</w:t>
      </w:r>
      <w:r w:rsidR="00132882">
        <w:rPr>
          <w:rFonts w:ascii="Times New Roman" w:hAnsi="Times New Roman" w:cs="Times New Roman"/>
          <w:sz w:val="24"/>
          <w:szCs w:val="24"/>
        </w:rPr>
        <w:t> </w:t>
      </w:r>
      <w:r w:rsidRPr="00BF127A">
        <w:rPr>
          <w:rFonts w:ascii="Times New Roman" w:hAnsi="Times New Roman" w:cs="Times New Roman"/>
          <w:sz w:val="24"/>
          <w:szCs w:val="24"/>
        </w:rPr>
        <w:t>(w</w:t>
      </w:r>
      <w:r w:rsidR="007564B1">
        <w:rPr>
          <w:rFonts w:ascii="Times New Roman" w:hAnsi="Times New Roman" w:cs="Times New Roman"/>
          <w:sz w:val="24"/>
          <w:szCs w:val="24"/>
        </w:rPr>
        <w:t xml:space="preserve"> </w:t>
      </w:r>
      <w:r w:rsidRPr="00BF127A">
        <w:rPr>
          <w:rFonts w:ascii="Times New Roman" w:hAnsi="Times New Roman" w:cs="Times New Roman"/>
          <w:sz w:val="24"/>
          <w:szCs w:val="24"/>
        </w:rPr>
        <w:t>treści rozporządzenia w sprawie szczegółowych warunków mowa przykładowo o</w:t>
      </w:r>
      <w:r w:rsidR="00132882">
        <w:rPr>
          <w:rFonts w:ascii="Times New Roman" w:hAnsi="Times New Roman" w:cs="Times New Roman"/>
          <w:sz w:val="24"/>
          <w:szCs w:val="24"/>
        </w:rPr>
        <w:t> </w:t>
      </w:r>
      <w:r w:rsidRPr="00BF127A">
        <w:rPr>
          <w:rFonts w:ascii="Times New Roman" w:hAnsi="Times New Roman" w:cs="Times New Roman"/>
          <w:sz w:val="24"/>
          <w:szCs w:val="24"/>
        </w:rPr>
        <w:t>taksówkach i</w:t>
      </w:r>
      <w:r w:rsidR="00132882">
        <w:rPr>
          <w:rFonts w:ascii="Times New Roman" w:hAnsi="Times New Roman" w:cs="Times New Roman"/>
          <w:sz w:val="24"/>
          <w:szCs w:val="24"/>
        </w:rPr>
        <w:t> </w:t>
      </w:r>
      <w:r w:rsidRPr="00BF127A">
        <w:rPr>
          <w:rFonts w:ascii="Times New Roman" w:hAnsi="Times New Roman" w:cs="Times New Roman"/>
          <w:sz w:val="24"/>
          <w:szCs w:val="24"/>
        </w:rPr>
        <w:t>rowerach) i pozostawił to w gestii organów zarządzających ruchem na drogach publicznych, jednak tylko na zasadzie wyjątku, a więc nie może być to rozszerzane. Ratio legis tych przepisów jest nadanie priorytetu dla komunikacji zbiorowej oraz form transportu redukujących formę indywidualną</w:t>
      </w:r>
      <w:r w:rsidR="00FF0467">
        <w:rPr>
          <w:rFonts w:ascii="Times New Roman" w:hAnsi="Times New Roman" w:cs="Times New Roman"/>
          <w:sz w:val="24"/>
          <w:szCs w:val="24"/>
        </w:rPr>
        <w:t xml:space="preserve"> transportu</w:t>
      </w:r>
      <w:r w:rsidRPr="00BF127A">
        <w:rPr>
          <w:rFonts w:ascii="Times New Roman" w:hAnsi="Times New Roman" w:cs="Times New Roman"/>
          <w:sz w:val="24"/>
          <w:szCs w:val="24"/>
        </w:rPr>
        <w:t xml:space="preserve"> (w Krakowie umożliwiono to również taksówkom), a także służb, takich jak Policja, Straż Miejska oraz zespoły ratownictwa medycznego. Każdorazowe dopuszczenie pojazdu innego niż pojazd komunikacji zbiorowej do ruchu po buspasie nie pozostanie bez wpływu na ruch autobusów.</w:t>
      </w:r>
      <w:r w:rsidR="00132882">
        <w:rPr>
          <w:rFonts w:ascii="Times New Roman" w:hAnsi="Times New Roman" w:cs="Times New Roman"/>
          <w:sz w:val="24"/>
          <w:szCs w:val="24"/>
        </w:rPr>
        <w:t xml:space="preserve"> </w:t>
      </w:r>
    </w:p>
    <w:p w14:paraId="11B2BA98" w14:textId="689C15FC" w:rsidR="00132882" w:rsidRPr="00BF127A" w:rsidRDefault="00132882" w:rsidP="00915CF8">
      <w:pPr>
        <w:spacing w:before="120" w:after="120" w:line="276" w:lineRule="auto"/>
        <w:ind w:firstLine="709"/>
        <w:jc w:val="both"/>
        <w:rPr>
          <w:rFonts w:ascii="Times New Roman" w:hAnsi="Times New Roman" w:cs="Times New Roman"/>
          <w:sz w:val="24"/>
          <w:szCs w:val="24"/>
        </w:rPr>
      </w:pPr>
      <w:r w:rsidRPr="008D5582">
        <w:rPr>
          <w:rFonts w:ascii="Times New Roman" w:hAnsi="Times New Roman" w:cs="Times New Roman"/>
          <w:sz w:val="24"/>
          <w:szCs w:val="24"/>
        </w:rPr>
        <w:t>W godzinach szczytu po najbardziej obciążonych pasa</w:t>
      </w:r>
      <w:r w:rsidR="00FF0467">
        <w:rPr>
          <w:rFonts w:ascii="Times New Roman" w:hAnsi="Times New Roman" w:cs="Times New Roman"/>
          <w:sz w:val="24"/>
          <w:szCs w:val="24"/>
        </w:rPr>
        <w:t>ch</w:t>
      </w:r>
      <w:r w:rsidRPr="008D5582">
        <w:rPr>
          <w:rFonts w:ascii="Times New Roman" w:hAnsi="Times New Roman" w:cs="Times New Roman"/>
          <w:sz w:val="24"/>
          <w:szCs w:val="24"/>
        </w:rPr>
        <w:t xml:space="preserve"> autobusowych w Krakowie kursuje około 60-70 autobusów KMK, 80-100 autobusów przewoźników prywatnych oraz </w:t>
      </w:r>
      <w:r>
        <w:rPr>
          <w:rFonts w:ascii="Times New Roman" w:hAnsi="Times New Roman" w:cs="Times New Roman"/>
          <w:sz w:val="24"/>
          <w:szCs w:val="24"/>
        </w:rPr>
        <w:t>znaczna</w:t>
      </w:r>
      <w:r w:rsidRPr="008D5582">
        <w:rPr>
          <w:rFonts w:ascii="Times New Roman" w:hAnsi="Times New Roman" w:cs="Times New Roman"/>
          <w:sz w:val="24"/>
          <w:szCs w:val="24"/>
        </w:rPr>
        <w:t xml:space="preserve"> liczba pozostałych pojazdów uprawnionych</w:t>
      </w:r>
      <w:r>
        <w:rPr>
          <w:rFonts w:ascii="Times New Roman" w:hAnsi="Times New Roman" w:cs="Times New Roman"/>
          <w:sz w:val="24"/>
          <w:szCs w:val="24"/>
        </w:rPr>
        <w:t xml:space="preserve"> - </w:t>
      </w:r>
      <w:r w:rsidRPr="008D5582">
        <w:rPr>
          <w:rFonts w:ascii="Times New Roman" w:hAnsi="Times New Roman" w:cs="Times New Roman"/>
          <w:sz w:val="24"/>
          <w:szCs w:val="24"/>
        </w:rPr>
        <w:t>głównie taksówek. Powoduje to,</w:t>
      </w:r>
      <w:r>
        <w:rPr>
          <w:rFonts w:ascii="Times New Roman" w:hAnsi="Times New Roman" w:cs="Times New Roman"/>
          <w:sz w:val="24"/>
          <w:szCs w:val="24"/>
        </w:rPr>
        <w:t> </w:t>
      </w:r>
      <w:r w:rsidRPr="008D5582">
        <w:rPr>
          <w:rFonts w:ascii="Times New Roman" w:hAnsi="Times New Roman" w:cs="Times New Roman"/>
          <w:sz w:val="24"/>
          <w:szCs w:val="24"/>
        </w:rPr>
        <w:t>że</w:t>
      </w:r>
      <w:r>
        <w:rPr>
          <w:rFonts w:ascii="Times New Roman" w:hAnsi="Times New Roman" w:cs="Times New Roman"/>
          <w:sz w:val="24"/>
          <w:szCs w:val="24"/>
        </w:rPr>
        <w:t> </w:t>
      </w:r>
      <w:r w:rsidRPr="008D5582">
        <w:rPr>
          <w:rFonts w:ascii="Times New Roman" w:hAnsi="Times New Roman" w:cs="Times New Roman"/>
          <w:sz w:val="24"/>
          <w:szCs w:val="24"/>
        </w:rPr>
        <w:t>w</w:t>
      </w:r>
      <w:r>
        <w:rPr>
          <w:rFonts w:ascii="Times New Roman" w:hAnsi="Times New Roman" w:cs="Times New Roman"/>
          <w:sz w:val="24"/>
          <w:szCs w:val="24"/>
        </w:rPr>
        <w:t> </w:t>
      </w:r>
      <w:r w:rsidRPr="008D5582">
        <w:rPr>
          <w:rFonts w:ascii="Times New Roman" w:hAnsi="Times New Roman" w:cs="Times New Roman"/>
          <w:sz w:val="24"/>
          <w:szCs w:val="24"/>
        </w:rPr>
        <w:t xml:space="preserve">okolicach skrzyżowań i przystanków (czyli miejscach, które limitują przepustowość pasów autobusowych) </w:t>
      </w:r>
      <w:r>
        <w:rPr>
          <w:rFonts w:ascii="Times New Roman" w:hAnsi="Times New Roman" w:cs="Times New Roman"/>
          <w:sz w:val="24"/>
          <w:szCs w:val="24"/>
        </w:rPr>
        <w:t>już w chwili obecnej dochodzi do powstawania</w:t>
      </w:r>
      <w:r w:rsidRPr="008D5582">
        <w:rPr>
          <w:rFonts w:ascii="Times New Roman" w:hAnsi="Times New Roman" w:cs="Times New Roman"/>
          <w:sz w:val="24"/>
          <w:szCs w:val="24"/>
        </w:rPr>
        <w:t xml:space="preserve"> zator</w:t>
      </w:r>
      <w:r>
        <w:rPr>
          <w:rFonts w:ascii="Times New Roman" w:hAnsi="Times New Roman" w:cs="Times New Roman"/>
          <w:sz w:val="24"/>
          <w:szCs w:val="24"/>
        </w:rPr>
        <w:t>ów</w:t>
      </w:r>
      <w:r w:rsidRPr="008D5582">
        <w:rPr>
          <w:rFonts w:ascii="Times New Roman" w:hAnsi="Times New Roman" w:cs="Times New Roman"/>
          <w:sz w:val="24"/>
          <w:szCs w:val="24"/>
        </w:rPr>
        <w:t xml:space="preserve"> utrudniając</w:t>
      </w:r>
      <w:r>
        <w:rPr>
          <w:rFonts w:ascii="Times New Roman" w:hAnsi="Times New Roman" w:cs="Times New Roman"/>
          <w:sz w:val="24"/>
          <w:szCs w:val="24"/>
        </w:rPr>
        <w:t>ych</w:t>
      </w:r>
      <w:r w:rsidRPr="008D5582">
        <w:rPr>
          <w:rFonts w:ascii="Times New Roman" w:hAnsi="Times New Roman" w:cs="Times New Roman"/>
          <w:sz w:val="24"/>
          <w:szCs w:val="24"/>
        </w:rPr>
        <w:t xml:space="preserve"> ruch autobusów. </w:t>
      </w:r>
      <w:r>
        <w:rPr>
          <w:rFonts w:ascii="Times New Roman" w:hAnsi="Times New Roman" w:cs="Times New Roman"/>
          <w:sz w:val="24"/>
          <w:szCs w:val="24"/>
        </w:rPr>
        <w:t xml:space="preserve">Zważywszy na powyżej przytoczone wyjaśnienia i argumentację należy stwierdzić, że </w:t>
      </w:r>
      <w:r w:rsidRPr="008D5582">
        <w:rPr>
          <w:rFonts w:ascii="Times New Roman" w:hAnsi="Times New Roman" w:cs="Times New Roman"/>
          <w:sz w:val="24"/>
          <w:szCs w:val="24"/>
        </w:rPr>
        <w:t>dopuszczenie kolejnych grup pojazdów, nawet jeśli nie są liczne</w:t>
      </w:r>
      <w:r w:rsidR="00FF0467">
        <w:rPr>
          <w:rFonts w:ascii="Times New Roman" w:hAnsi="Times New Roman" w:cs="Times New Roman"/>
          <w:sz w:val="24"/>
          <w:szCs w:val="24"/>
        </w:rPr>
        <w:t>,</w:t>
      </w:r>
      <w:r w:rsidRPr="008D5582">
        <w:rPr>
          <w:rFonts w:ascii="Times New Roman" w:hAnsi="Times New Roman" w:cs="Times New Roman"/>
          <w:sz w:val="24"/>
          <w:szCs w:val="24"/>
        </w:rPr>
        <w:t xml:space="preserve"> nie jest </w:t>
      </w:r>
      <w:r w:rsidRPr="008D5582">
        <w:rPr>
          <w:rFonts w:ascii="Times New Roman" w:hAnsi="Times New Roman" w:cs="Times New Roman"/>
          <w:sz w:val="24"/>
          <w:szCs w:val="24"/>
        </w:rPr>
        <w:lastRenderedPageBreak/>
        <w:t>działaniem pożądanym. Powinno się dążyć do ograniczenia liczby pojazdów uprawnionych do</w:t>
      </w:r>
      <w:r>
        <w:rPr>
          <w:rFonts w:ascii="Times New Roman" w:hAnsi="Times New Roman" w:cs="Times New Roman"/>
          <w:sz w:val="24"/>
          <w:szCs w:val="24"/>
        </w:rPr>
        <w:t> </w:t>
      </w:r>
      <w:r w:rsidRPr="008D5582">
        <w:rPr>
          <w:rFonts w:ascii="Times New Roman" w:hAnsi="Times New Roman" w:cs="Times New Roman"/>
          <w:sz w:val="24"/>
          <w:szCs w:val="24"/>
        </w:rPr>
        <w:t>korzystania z pasów autobusowych celem zapewnienia prawidłow</w:t>
      </w:r>
      <w:r>
        <w:rPr>
          <w:rFonts w:ascii="Times New Roman" w:hAnsi="Times New Roman" w:cs="Times New Roman"/>
          <w:sz w:val="24"/>
          <w:szCs w:val="24"/>
        </w:rPr>
        <w:t>ego</w:t>
      </w:r>
      <w:r w:rsidRPr="008D5582">
        <w:rPr>
          <w:rFonts w:ascii="Times New Roman" w:hAnsi="Times New Roman" w:cs="Times New Roman"/>
          <w:sz w:val="24"/>
          <w:szCs w:val="24"/>
        </w:rPr>
        <w:t xml:space="preserve"> </w:t>
      </w:r>
      <w:r>
        <w:rPr>
          <w:rFonts w:ascii="Times New Roman" w:hAnsi="Times New Roman" w:cs="Times New Roman"/>
          <w:sz w:val="24"/>
          <w:szCs w:val="24"/>
        </w:rPr>
        <w:t>ich funkcjonowania</w:t>
      </w:r>
      <w:r w:rsidRPr="008D5582">
        <w:rPr>
          <w:rFonts w:ascii="Times New Roman" w:hAnsi="Times New Roman" w:cs="Times New Roman"/>
          <w:sz w:val="24"/>
          <w:szCs w:val="24"/>
        </w:rPr>
        <w:t xml:space="preserve">. </w:t>
      </w:r>
      <w:r>
        <w:rPr>
          <w:rFonts w:ascii="Times New Roman" w:hAnsi="Times New Roman" w:cs="Times New Roman"/>
          <w:sz w:val="24"/>
          <w:szCs w:val="24"/>
        </w:rPr>
        <w:t>Nie można również wykluczyć, że</w:t>
      </w:r>
      <w:r w:rsidRPr="008D5582">
        <w:rPr>
          <w:rFonts w:ascii="Times New Roman" w:hAnsi="Times New Roman" w:cs="Times New Roman"/>
          <w:sz w:val="24"/>
          <w:szCs w:val="24"/>
        </w:rPr>
        <w:t xml:space="preserve"> dopuszczenie nowej grupy pojazdów może </w:t>
      </w:r>
      <w:r>
        <w:rPr>
          <w:rFonts w:ascii="Times New Roman" w:hAnsi="Times New Roman" w:cs="Times New Roman"/>
          <w:sz w:val="24"/>
          <w:szCs w:val="24"/>
        </w:rPr>
        <w:t>generować</w:t>
      </w:r>
      <w:r w:rsidRPr="008D5582">
        <w:rPr>
          <w:rFonts w:ascii="Times New Roman" w:hAnsi="Times New Roman" w:cs="Times New Roman"/>
          <w:sz w:val="24"/>
          <w:szCs w:val="24"/>
        </w:rPr>
        <w:t xml:space="preserve"> wnioski kolejnych osób i instytucji, które będą oczekiwały analogicznego uwzględnienia ich postulatów, co doprowadzi do całkowitej niewydolności pasów autobusowych, a tym samym zdeprecjonuje ich funkcje. </w:t>
      </w:r>
    </w:p>
    <w:p w14:paraId="0374B10C" w14:textId="26890C08" w:rsidR="00BF127A" w:rsidRDefault="007564B1" w:rsidP="00915CF8">
      <w:pPr>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Nadmieniam ponadto</w:t>
      </w:r>
      <w:r w:rsidR="00132882">
        <w:rPr>
          <w:rFonts w:ascii="Times New Roman" w:hAnsi="Times New Roman" w:cs="Times New Roman"/>
          <w:sz w:val="24"/>
          <w:szCs w:val="24"/>
        </w:rPr>
        <w:t>, że p</w:t>
      </w:r>
      <w:r w:rsidR="00BF127A" w:rsidRPr="00BF127A">
        <w:rPr>
          <w:rFonts w:ascii="Times New Roman" w:hAnsi="Times New Roman" w:cs="Times New Roman"/>
          <w:sz w:val="24"/>
          <w:szCs w:val="24"/>
        </w:rPr>
        <w:t xml:space="preserve">ojazd pomocy drogowej, zgodnie z §38 </w:t>
      </w:r>
      <w:r w:rsidR="00FF0467">
        <w:rPr>
          <w:rFonts w:ascii="Times New Roman" w:hAnsi="Times New Roman" w:cs="Times New Roman"/>
          <w:sz w:val="24"/>
          <w:szCs w:val="24"/>
        </w:rPr>
        <w:t>r</w:t>
      </w:r>
      <w:r w:rsidR="00BF127A" w:rsidRPr="00BF127A">
        <w:rPr>
          <w:rFonts w:ascii="Times New Roman" w:hAnsi="Times New Roman" w:cs="Times New Roman"/>
          <w:sz w:val="24"/>
          <w:szCs w:val="24"/>
        </w:rPr>
        <w:t xml:space="preserve">ozporządzenia Ministra Infrastruktury z dnia 31 grudnia 2002 r. </w:t>
      </w:r>
      <w:r w:rsidR="00BF127A" w:rsidRPr="007564B1">
        <w:rPr>
          <w:rFonts w:ascii="Times New Roman" w:hAnsi="Times New Roman" w:cs="Times New Roman"/>
          <w:i/>
          <w:sz w:val="24"/>
          <w:szCs w:val="24"/>
        </w:rPr>
        <w:t>w sprawie warunków technicznych pojazdów oraz zakresu ich niezbędnego wyposażenia</w:t>
      </w:r>
      <w:r w:rsidR="00BF127A" w:rsidRPr="00BF127A">
        <w:rPr>
          <w:rFonts w:ascii="Times New Roman" w:hAnsi="Times New Roman" w:cs="Times New Roman"/>
          <w:sz w:val="24"/>
          <w:szCs w:val="24"/>
        </w:rPr>
        <w:t xml:space="preserve"> (Dz.</w:t>
      </w:r>
      <w:r w:rsidR="00960DAD">
        <w:rPr>
          <w:rFonts w:ascii="Times New Roman" w:hAnsi="Times New Roman" w:cs="Times New Roman"/>
          <w:sz w:val="24"/>
          <w:szCs w:val="24"/>
        </w:rPr>
        <w:t> </w:t>
      </w:r>
      <w:r w:rsidR="00BF127A" w:rsidRPr="00BF127A">
        <w:rPr>
          <w:rFonts w:ascii="Times New Roman" w:hAnsi="Times New Roman" w:cs="Times New Roman"/>
          <w:sz w:val="24"/>
          <w:szCs w:val="24"/>
        </w:rPr>
        <w:t>U. z 2016 r.</w:t>
      </w:r>
      <w:r>
        <w:rPr>
          <w:rFonts w:ascii="Times New Roman" w:hAnsi="Times New Roman" w:cs="Times New Roman"/>
          <w:sz w:val="24"/>
          <w:szCs w:val="24"/>
        </w:rPr>
        <w:t>,</w:t>
      </w:r>
      <w:r w:rsidR="00BF127A" w:rsidRPr="00BF127A">
        <w:rPr>
          <w:rFonts w:ascii="Times New Roman" w:hAnsi="Times New Roman" w:cs="Times New Roman"/>
          <w:sz w:val="24"/>
          <w:szCs w:val="24"/>
        </w:rPr>
        <w:t xml:space="preserve"> poz. 2022 z </w:t>
      </w:r>
      <w:proofErr w:type="spellStart"/>
      <w:r w:rsidR="00BF127A" w:rsidRPr="00BF127A">
        <w:rPr>
          <w:rFonts w:ascii="Times New Roman" w:hAnsi="Times New Roman" w:cs="Times New Roman"/>
          <w:sz w:val="24"/>
          <w:szCs w:val="24"/>
        </w:rPr>
        <w:t>późn</w:t>
      </w:r>
      <w:proofErr w:type="spellEnd"/>
      <w:r w:rsidR="00BF127A" w:rsidRPr="00BF127A">
        <w:rPr>
          <w:rFonts w:ascii="Times New Roman" w:hAnsi="Times New Roman" w:cs="Times New Roman"/>
          <w:sz w:val="24"/>
          <w:szCs w:val="24"/>
        </w:rPr>
        <w:t xml:space="preserve">. zm.) powinien być wyposażony w sygnał świetlny błyskowy barwy żółtej, co z kolei uprawnia go do korzystania z przywilejów przewidzianych w art. 54 ustawy z dnia 20 czerwca 1997 r. </w:t>
      </w:r>
      <w:r w:rsidR="00BF127A" w:rsidRPr="007564B1">
        <w:rPr>
          <w:rFonts w:ascii="Times New Roman" w:hAnsi="Times New Roman" w:cs="Times New Roman"/>
          <w:i/>
          <w:sz w:val="24"/>
          <w:szCs w:val="24"/>
        </w:rPr>
        <w:t>Prawo o ruchu drogowym</w:t>
      </w:r>
      <w:r w:rsidR="00BF127A" w:rsidRPr="00BF127A">
        <w:rPr>
          <w:rFonts w:ascii="Times New Roman" w:hAnsi="Times New Roman" w:cs="Times New Roman"/>
          <w:sz w:val="24"/>
          <w:szCs w:val="24"/>
        </w:rPr>
        <w:t xml:space="preserve"> (</w:t>
      </w:r>
      <w:r w:rsidR="00960DAD">
        <w:rPr>
          <w:rFonts w:ascii="Times New Roman" w:hAnsi="Times New Roman" w:cs="Times New Roman"/>
          <w:sz w:val="24"/>
          <w:szCs w:val="24"/>
        </w:rPr>
        <w:t xml:space="preserve">tekst jednolity: </w:t>
      </w:r>
      <w:r w:rsidR="00BF127A" w:rsidRPr="00BF127A">
        <w:rPr>
          <w:rFonts w:ascii="Times New Roman" w:hAnsi="Times New Roman" w:cs="Times New Roman"/>
          <w:sz w:val="24"/>
          <w:szCs w:val="24"/>
        </w:rPr>
        <w:t>Dz.</w:t>
      </w:r>
      <w:r w:rsidR="00960DAD">
        <w:rPr>
          <w:rFonts w:ascii="Times New Roman" w:hAnsi="Times New Roman" w:cs="Times New Roman"/>
          <w:sz w:val="24"/>
          <w:szCs w:val="24"/>
        </w:rPr>
        <w:t> </w:t>
      </w:r>
      <w:r w:rsidR="00BF127A" w:rsidRPr="00BF127A">
        <w:rPr>
          <w:rFonts w:ascii="Times New Roman" w:hAnsi="Times New Roman" w:cs="Times New Roman"/>
          <w:sz w:val="24"/>
          <w:szCs w:val="24"/>
        </w:rPr>
        <w:t>U. z 2021 r.</w:t>
      </w:r>
      <w:r>
        <w:rPr>
          <w:rFonts w:ascii="Times New Roman" w:hAnsi="Times New Roman" w:cs="Times New Roman"/>
          <w:sz w:val="24"/>
          <w:szCs w:val="24"/>
        </w:rPr>
        <w:t>,</w:t>
      </w:r>
      <w:r w:rsidR="00BF127A" w:rsidRPr="00BF127A">
        <w:rPr>
          <w:rFonts w:ascii="Times New Roman" w:hAnsi="Times New Roman" w:cs="Times New Roman"/>
          <w:sz w:val="24"/>
          <w:szCs w:val="24"/>
        </w:rPr>
        <w:t xml:space="preserve"> poz. 450 z </w:t>
      </w:r>
      <w:proofErr w:type="spellStart"/>
      <w:r w:rsidR="00BF127A" w:rsidRPr="00BF127A">
        <w:rPr>
          <w:rFonts w:ascii="Times New Roman" w:hAnsi="Times New Roman" w:cs="Times New Roman"/>
          <w:sz w:val="24"/>
          <w:szCs w:val="24"/>
        </w:rPr>
        <w:t>późn</w:t>
      </w:r>
      <w:proofErr w:type="spellEnd"/>
      <w:r w:rsidR="00BF127A" w:rsidRPr="00BF127A">
        <w:rPr>
          <w:rFonts w:ascii="Times New Roman" w:hAnsi="Times New Roman" w:cs="Times New Roman"/>
          <w:sz w:val="24"/>
          <w:szCs w:val="24"/>
        </w:rPr>
        <w:t>. zm.), a więc m.in. do</w:t>
      </w:r>
      <w:r w:rsidR="00132882">
        <w:rPr>
          <w:rFonts w:ascii="Times New Roman" w:hAnsi="Times New Roman" w:cs="Times New Roman"/>
          <w:sz w:val="24"/>
          <w:szCs w:val="24"/>
        </w:rPr>
        <w:t> </w:t>
      </w:r>
      <w:r w:rsidR="00BF127A" w:rsidRPr="00BF127A">
        <w:rPr>
          <w:rFonts w:ascii="Times New Roman" w:hAnsi="Times New Roman" w:cs="Times New Roman"/>
          <w:sz w:val="24"/>
          <w:szCs w:val="24"/>
        </w:rPr>
        <w:t>niestosowania się do przepisów o obowiązku jazdy na jezdni lub przy jej prawej krawędzi oraz o zatrzymaniu i postoju. Warto także wskazać, że pojazdy pomocy drogowej lub technicznej mogą używać tych sygnałów jedynie w trakcie udzielania pomocy, a nie w czasie dojazdu na miejsce wezwania (R.</w:t>
      </w:r>
      <w:r w:rsidR="00960DAD">
        <w:rPr>
          <w:rFonts w:ascii="Times New Roman" w:hAnsi="Times New Roman" w:cs="Times New Roman"/>
          <w:sz w:val="24"/>
          <w:szCs w:val="24"/>
        </w:rPr>
        <w:t xml:space="preserve"> </w:t>
      </w:r>
      <w:r w:rsidR="00BF127A" w:rsidRPr="00BF127A">
        <w:rPr>
          <w:rFonts w:ascii="Times New Roman" w:hAnsi="Times New Roman" w:cs="Times New Roman"/>
          <w:sz w:val="24"/>
          <w:szCs w:val="24"/>
        </w:rPr>
        <w:t xml:space="preserve">A. Stefański, </w:t>
      </w:r>
      <w:r w:rsidR="00BF127A" w:rsidRPr="00960DAD">
        <w:rPr>
          <w:rFonts w:ascii="Times New Roman" w:hAnsi="Times New Roman" w:cs="Times New Roman"/>
          <w:i/>
          <w:sz w:val="24"/>
          <w:szCs w:val="24"/>
        </w:rPr>
        <w:t>Prawo o ruchu drogowym. Komentarz</w:t>
      </w:r>
      <w:r w:rsidR="00BF127A" w:rsidRPr="00BF127A">
        <w:rPr>
          <w:rFonts w:ascii="Times New Roman" w:hAnsi="Times New Roman" w:cs="Times New Roman"/>
          <w:sz w:val="24"/>
          <w:szCs w:val="24"/>
        </w:rPr>
        <w:t xml:space="preserve">, Warszawa 2008, s. 427). Skoro więc prawodawca nie zdecydował się na umożliwienie pojazdom pomocy drogowej posłużenia się sygnałem świetlnym żółtym (pod groźbą odpowiedzialności za wykroczenie) w trakcie dojazdu na miejsce zdarzenia, to nie tylko nie </w:t>
      </w:r>
      <w:r w:rsidR="008D5582">
        <w:rPr>
          <w:rFonts w:ascii="Times New Roman" w:hAnsi="Times New Roman" w:cs="Times New Roman"/>
          <w:sz w:val="24"/>
          <w:szCs w:val="24"/>
        </w:rPr>
        <w:t>zachodzi potrzeba, aby</w:t>
      </w:r>
      <w:r w:rsidR="00BF127A" w:rsidRPr="00BF127A">
        <w:rPr>
          <w:rFonts w:ascii="Times New Roman" w:hAnsi="Times New Roman" w:cs="Times New Roman"/>
          <w:sz w:val="24"/>
          <w:szCs w:val="24"/>
        </w:rPr>
        <w:t xml:space="preserve"> organ zarządzający ruchem miał </w:t>
      </w:r>
      <w:r w:rsidR="008D5582">
        <w:rPr>
          <w:rFonts w:ascii="Times New Roman" w:hAnsi="Times New Roman" w:cs="Times New Roman"/>
          <w:sz w:val="24"/>
          <w:szCs w:val="24"/>
        </w:rPr>
        <w:t>uprzywilejować takie pojazdy</w:t>
      </w:r>
      <w:r w:rsidR="00BF127A" w:rsidRPr="00BF127A">
        <w:rPr>
          <w:rFonts w:ascii="Times New Roman" w:hAnsi="Times New Roman" w:cs="Times New Roman"/>
          <w:sz w:val="24"/>
          <w:szCs w:val="24"/>
        </w:rPr>
        <w:t>, ale</w:t>
      </w:r>
      <w:r w:rsidR="00F01F9C">
        <w:rPr>
          <w:rFonts w:ascii="Times New Roman" w:hAnsi="Times New Roman" w:cs="Times New Roman"/>
          <w:sz w:val="24"/>
          <w:szCs w:val="24"/>
        </w:rPr>
        <w:t> </w:t>
      </w:r>
      <w:r w:rsidR="008D5582">
        <w:rPr>
          <w:rFonts w:ascii="Times New Roman" w:hAnsi="Times New Roman" w:cs="Times New Roman"/>
          <w:sz w:val="24"/>
          <w:szCs w:val="24"/>
        </w:rPr>
        <w:t xml:space="preserve">dodatkowo </w:t>
      </w:r>
      <w:r w:rsidR="00BF127A" w:rsidRPr="00BF127A">
        <w:rPr>
          <w:rFonts w:ascii="Times New Roman" w:hAnsi="Times New Roman" w:cs="Times New Roman"/>
          <w:sz w:val="24"/>
          <w:szCs w:val="24"/>
        </w:rPr>
        <w:t>przejazd takiego pojazdu buspasem byłby nieweryfikowalny z punktu widzenia konieczności dojazdu na miejsce zdarzenia, czy po prostu chęci uniknięcia zatoru drogowego.</w:t>
      </w:r>
    </w:p>
    <w:p w14:paraId="7487EAFA" w14:textId="0FE2E27F" w:rsidR="00132882" w:rsidRPr="00336DFC" w:rsidRDefault="00132882" w:rsidP="00915CF8">
      <w:pPr>
        <w:spacing w:before="120" w:after="120" w:line="276" w:lineRule="auto"/>
        <w:ind w:firstLine="709"/>
        <w:jc w:val="both"/>
        <w:rPr>
          <w:rFonts w:ascii="Times New Roman" w:hAnsi="Times New Roman" w:cs="Times New Roman"/>
          <w:iCs/>
          <w:sz w:val="24"/>
          <w:szCs w:val="24"/>
        </w:rPr>
      </w:pPr>
      <w:r w:rsidRPr="00336DFC">
        <w:rPr>
          <w:rFonts w:ascii="Times New Roman" w:hAnsi="Times New Roman" w:cs="Times New Roman"/>
          <w:iCs/>
          <w:sz w:val="24"/>
          <w:szCs w:val="24"/>
        </w:rPr>
        <w:t xml:space="preserve">Mając na uwadze powyższe, opiniuję negatywnie projekt </w:t>
      </w:r>
      <w:r>
        <w:rPr>
          <w:rFonts w:ascii="Times New Roman" w:hAnsi="Times New Roman" w:cs="Times New Roman"/>
          <w:iCs/>
          <w:sz w:val="24"/>
          <w:szCs w:val="24"/>
        </w:rPr>
        <w:t xml:space="preserve">uchwały </w:t>
      </w:r>
      <w:r w:rsidRPr="00336DFC">
        <w:rPr>
          <w:rFonts w:ascii="Times New Roman" w:hAnsi="Times New Roman" w:cs="Times New Roman"/>
          <w:iCs/>
          <w:sz w:val="24"/>
          <w:szCs w:val="24"/>
        </w:rPr>
        <w:t xml:space="preserve">wg druku </w:t>
      </w:r>
      <w:r>
        <w:rPr>
          <w:rFonts w:ascii="Times New Roman" w:hAnsi="Times New Roman" w:cs="Times New Roman"/>
          <w:iCs/>
          <w:sz w:val="24"/>
          <w:szCs w:val="24"/>
        </w:rPr>
        <w:t>2267</w:t>
      </w:r>
      <w:r w:rsidRPr="00336DFC">
        <w:rPr>
          <w:rFonts w:ascii="Times New Roman" w:hAnsi="Times New Roman" w:cs="Times New Roman"/>
          <w:iCs/>
          <w:sz w:val="24"/>
          <w:szCs w:val="24"/>
        </w:rPr>
        <w:t>.</w:t>
      </w:r>
    </w:p>
    <w:p w14:paraId="7E16C8CA" w14:textId="4B21D83B" w:rsidR="008D5582" w:rsidRDefault="008D5582" w:rsidP="00915CF8">
      <w:pPr>
        <w:spacing w:after="0" w:line="276" w:lineRule="auto"/>
        <w:ind w:firstLine="709"/>
        <w:jc w:val="both"/>
        <w:rPr>
          <w:rFonts w:ascii="Times New Roman" w:hAnsi="Times New Roman" w:cs="Times New Roman"/>
          <w:sz w:val="24"/>
          <w:szCs w:val="24"/>
        </w:rPr>
      </w:pPr>
    </w:p>
    <w:p w14:paraId="2EB8C951" w14:textId="77777777" w:rsidR="00BF127A" w:rsidRPr="00BF127A" w:rsidRDefault="00BF127A" w:rsidP="00915CF8">
      <w:pPr>
        <w:spacing w:after="0" w:line="276" w:lineRule="auto"/>
        <w:ind w:firstLine="709"/>
        <w:jc w:val="both"/>
        <w:rPr>
          <w:rFonts w:ascii="Times New Roman" w:hAnsi="Times New Roman" w:cs="Times New Roman"/>
          <w:sz w:val="24"/>
          <w:szCs w:val="24"/>
        </w:rPr>
      </w:pPr>
    </w:p>
    <w:p w14:paraId="020FE57F" w14:textId="77777777" w:rsidR="00BF127A" w:rsidRPr="00BF127A" w:rsidRDefault="00BF127A" w:rsidP="00915CF8">
      <w:pPr>
        <w:spacing w:after="0" w:line="276" w:lineRule="auto"/>
        <w:ind w:firstLine="709"/>
        <w:jc w:val="both"/>
        <w:rPr>
          <w:rFonts w:ascii="Times New Roman" w:hAnsi="Times New Roman" w:cs="Times New Roman"/>
          <w:sz w:val="24"/>
          <w:szCs w:val="24"/>
        </w:rPr>
      </w:pPr>
    </w:p>
    <w:p w14:paraId="36E3EE09" w14:textId="77777777" w:rsidR="00BF127A" w:rsidRPr="00BF127A" w:rsidRDefault="00BF127A" w:rsidP="00915CF8">
      <w:pPr>
        <w:spacing w:after="0" w:line="276" w:lineRule="auto"/>
        <w:ind w:firstLine="709"/>
        <w:jc w:val="both"/>
        <w:rPr>
          <w:rFonts w:ascii="Times New Roman" w:hAnsi="Times New Roman" w:cs="Times New Roman"/>
          <w:sz w:val="24"/>
          <w:szCs w:val="24"/>
        </w:rPr>
      </w:pPr>
    </w:p>
    <w:p w14:paraId="612FB240" w14:textId="77777777" w:rsidR="00BF127A" w:rsidRPr="00BF127A" w:rsidRDefault="00BF127A" w:rsidP="00915CF8">
      <w:pPr>
        <w:spacing w:after="0" w:line="276" w:lineRule="auto"/>
        <w:ind w:firstLine="709"/>
        <w:jc w:val="both"/>
        <w:rPr>
          <w:rFonts w:ascii="Times New Roman" w:hAnsi="Times New Roman" w:cs="Times New Roman"/>
          <w:sz w:val="24"/>
          <w:szCs w:val="24"/>
        </w:rPr>
      </w:pPr>
    </w:p>
    <w:p w14:paraId="2B419966" w14:textId="77777777" w:rsidR="00D7081F" w:rsidRPr="00AB004B" w:rsidRDefault="00D7081F" w:rsidP="00915CF8">
      <w:pPr>
        <w:spacing w:line="276" w:lineRule="auto"/>
        <w:ind w:firstLine="709"/>
        <w:jc w:val="both"/>
        <w:rPr>
          <w:rFonts w:ascii="Times New Roman" w:hAnsi="Times New Roman" w:cs="Times New Roman"/>
          <w:sz w:val="24"/>
          <w:szCs w:val="24"/>
        </w:rPr>
      </w:pPr>
    </w:p>
    <w:sectPr w:rsidR="00D7081F" w:rsidRPr="00AB00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A8A02" w14:textId="77777777" w:rsidR="00DE0167" w:rsidRDefault="00DE0167" w:rsidP="00333BEA">
      <w:pPr>
        <w:spacing w:after="0" w:line="240" w:lineRule="auto"/>
      </w:pPr>
      <w:r>
        <w:separator/>
      </w:r>
    </w:p>
  </w:endnote>
  <w:endnote w:type="continuationSeparator" w:id="0">
    <w:p w14:paraId="45EF9956" w14:textId="77777777" w:rsidR="00DE0167" w:rsidRDefault="00DE0167" w:rsidP="0033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262840"/>
      <w:docPartObj>
        <w:docPartGallery w:val="Page Numbers (Bottom of Page)"/>
        <w:docPartUnique/>
      </w:docPartObj>
    </w:sdtPr>
    <w:sdtEndPr/>
    <w:sdtContent>
      <w:p w14:paraId="6409FA0D" w14:textId="38B75B6E" w:rsidR="00333BEA" w:rsidRDefault="00333BEA">
        <w:pPr>
          <w:pStyle w:val="Stopka"/>
          <w:jc w:val="center"/>
        </w:pPr>
        <w:r>
          <w:fldChar w:fldCharType="begin"/>
        </w:r>
        <w:r>
          <w:instrText>PAGE   \* MERGEFORMAT</w:instrText>
        </w:r>
        <w:r>
          <w:fldChar w:fldCharType="separate"/>
        </w:r>
        <w:r w:rsidR="00906163">
          <w:rPr>
            <w:noProof/>
          </w:rPr>
          <w:t>5</w:t>
        </w:r>
        <w:r>
          <w:fldChar w:fldCharType="end"/>
        </w:r>
      </w:p>
    </w:sdtContent>
  </w:sdt>
  <w:p w14:paraId="5BA6E13F" w14:textId="77777777" w:rsidR="00333BEA" w:rsidRDefault="00333B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93A50" w14:textId="77777777" w:rsidR="00DE0167" w:rsidRDefault="00DE0167" w:rsidP="00333BEA">
      <w:pPr>
        <w:spacing w:after="0" w:line="240" w:lineRule="auto"/>
      </w:pPr>
      <w:r>
        <w:separator/>
      </w:r>
    </w:p>
  </w:footnote>
  <w:footnote w:type="continuationSeparator" w:id="0">
    <w:p w14:paraId="06D29992" w14:textId="77777777" w:rsidR="00DE0167" w:rsidRDefault="00DE0167" w:rsidP="00333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F72EA"/>
    <w:multiLevelType w:val="hybridMultilevel"/>
    <w:tmpl w:val="A4806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7D01A0"/>
    <w:multiLevelType w:val="multilevel"/>
    <w:tmpl w:val="ED7C3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B222FB"/>
    <w:multiLevelType w:val="hybridMultilevel"/>
    <w:tmpl w:val="683AD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57"/>
    <w:rsid w:val="00004D94"/>
    <w:rsid w:val="00007EC2"/>
    <w:rsid w:val="00051D81"/>
    <w:rsid w:val="0006058B"/>
    <w:rsid w:val="00065465"/>
    <w:rsid w:val="00072E08"/>
    <w:rsid w:val="00091402"/>
    <w:rsid w:val="000A600C"/>
    <w:rsid w:val="000B19D6"/>
    <w:rsid w:val="000C39A5"/>
    <w:rsid w:val="000C721B"/>
    <w:rsid w:val="00105ECB"/>
    <w:rsid w:val="00132882"/>
    <w:rsid w:val="00133E41"/>
    <w:rsid w:val="00143C30"/>
    <w:rsid w:val="0015442D"/>
    <w:rsid w:val="00157A29"/>
    <w:rsid w:val="001A1009"/>
    <w:rsid w:val="001C493F"/>
    <w:rsid w:val="001C4A08"/>
    <w:rsid w:val="001D1A34"/>
    <w:rsid w:val="001E7E84"/>
    <w:rsid w:val="001F348C"/>
    <w:rsid w:val="00205A42"/>
    <w:rsid w:val="002128A2"/>
    <w:rsid w:val="00220807"/>
    <w:rsid w:val="002527EB"/>
    <w:rsid w:val="002720AB"/>
    <w:rsid w:val="0029465C"/>
    <w:rsid w:val="002A7CA4"/>
    <w:rsid w:val="002B5DBD"/>
    <w:rsid w:val="002C5FCE"/>
    <w:rsid w:val="002C6A91"/>
    <w:rsid w:val="002C79D9"/>
    <w:rsid w:val="002D114A"/>
    <w:rsid w:val="002F3C0C"/>
    <w:rsid w:val="00304D50"/>
    <w:rsid w:val="00314877"/>
    <w:rsid w:val="00333BEA"/>
    <w:rsid w:val="003378AD"/>
    <w:rsid w:val="00344E0C"/>
    <w:rsid w:val="00354143"/>
    <w:rsid w:val="003566A9"/>
    <w:rsid w:val="00357136"/>
    <w:rsid w:val="0039540E"/>
    <w:rsid w:val="003A72A8"/>
    <w:rsid w:val="003C1EB4"/>
    <w:rsid w:val="003D63B2"/>
    <w:rsid w:val="003D63FC"/>
    <w:rsid w:val="003E10A7"/>
    <w:rsid w:val="003E3EF3"/>
    <w:rsid w:val="004028AA"/>
    <w:rsid w:val="0040432F"/>
    <w:rsid w:val="004335F8"/>
    <w:rsid w:val="00433C99"/>
    <w:rsid w:val="00475F56"/>
    <w:rsid w:val="004A61E9"/>
    <w:rsid w:val="004B61CD"/>
    <w:rsid w:val="004B7E95"/>
    <w:rsid w:val="004D0926"/>
    <w:rsid w:val="00506054"/>
    <w:rsid w:val="005108DF"/>
    <w:rsid w:val="00551ACC"/>
    <w:rsid w:val="00554171"/>
    <w:rsid w:val="00556E71"/>
    <w:rsid w:val="00574692"/>
    <w:rsid w:val="005808DA"/>
    <w:rsid w:val="0059734D"/>
    <w:rsid w:val="005D6228"/>
    <w:rsid w:val="00626DEB"/>
    <w:rsid w:val="0063469B"/>
    <w:rsid w:val="00643E08"/>
    <w:rsid w:val="0064791D"/>
    <w:rsid w:val="0065430E"/>
    <w:rsid w:val="00655BBB"/>
    <w:rsid w:val="0067744C"/>
    <w:rsid w:val="006A2AFC"/>
    <w:rsid w:val="006C516E"/>
    <w:rsid w:val="006C7280"/>
    <w:rsid w:val="006E309E"/>
    <w:rsid w:val="007102A4"/>
    <w:rsid w:val="00711C1F"/>
    <w:rsid w:val="00711DC7"/>
    <w:rsid w:val="00726D4D"/>
    <w:rsid w:val="007273CF"/>
    <w:rsid w:val="00730559"/>
    <w:rsid w:val="00730C94"/>
    <w:rsid w:val="00732B07"/>
    <w:rsid w:val="00743DAD"/>
    <w:rsid w:val="00750D07"/>
    <w:rsid w:val="007564B1"/>
    <w:rsid w:val="00780DC0"/>
    <w:rsid w:val="00797052"/>
    <w:rsid w:val="00797192"/>
    <w:rsid w:val="007B505B"/>
    <w:rsid w:val="007B5D87"/>
    <w:rsid w:val="007C174B"/>
    <w:rsid w:val="007C5B79"/>
    <w:rsid w:val="007E0EA6"/>
    <w:rsid w:val="0080419F"/>
    <w:rsid w:val="00821C24"/>
    <w:rsid w:val="0083737B"/>
    <w:rsid w:val="00852259"/>
    <w:rsid w:val="008529AB"/>
    <w:rsid w:val="00876F14"/>
    <w:rsid w:val="008A0069"/>
    <w:rsid w:val="008A4711"/>
    <w:rsid w:val="008D4639"/>
    <w:rsid w:val="008D5582"/>
    <w:rsid w:val="008F2B88"/>
    <w:rsid w:val="008F76D7"/>
    <w:rsid w:val="00902753"/>
    <w:rsid w:val="00906163"/>
    <w:rsid w:val="00915CF8"/>
    <w:rsid w:val="00916707"/>
    <w:rsid w:val="009455D2"/>
    <w:rsid w:val="009530A3"/>
    <w:rsid w:val="00960DAD"/>
    <w:rsid w:val="009735BD"/>
    <w:rsid w:val="009A6C20"/>
    <w:rsid w:val="009C6AB6"/>
    <w:rsid w:val="009C7BBD"/>
    <w:rsid w:val="009D0B79"/>
    <w:rsid w:val="009D59A4"/>
    <w:rsid w:val="009F0793"/>
    <w:rsid w:val="00A051DE"/>
    <w:rsid w:val="00A15400"/>
    <w:rsid w:val="00A17EB8"/>
    <w:rsid w:val="00A31B35"/>
    <w:rsid w:val="00A42E75"/>
    <w:rsid w:val="00A46EFF"/>
    <w:rsid w:val="00A61298"/>
    <w:rsid w:val="00A70D4D"/>
    <w:rsid w:val="00A757CE"/>
    <w:rsid w:val="00A85BF2"/>
    <w:rsid w:val="00AA00B6"/>
    <w:rsid w:val="00AA2E20"/>
    <w:rsid w:val="00AA6BF5"/>
    <w:rsid w:val="00AB004B"/>
    <w:rsid w:val="00AB08E9"/>
    <w:rsid w:val="00AC65F3"/>
    <w:rsid w:val="00AF05EC"/>
    <w:rsid w:val="00B0646B"/>
    <w:rsid w:val="00B133BA"/>
    <w:rsid w:val="00B26546"/>
    <w:rsid w:val="00B33A97"/>
    <w:rsid w:val="00B73847"/>
    <w:rsid w:val="00B85C36"/>
    <w:rsid w:val="00BB07A1"/>
    <w:rsid w:val="00BB20FC"/>
    <w:rsid w:val="00BB27C1"/>
    <w:rsid w:val="00BE140B"/>
    <w:rsid w:val="00BF127A"/>
    <w:rsid w:val="00C16D92"/>
    <w:rsid w:val="00C200E2"/>
    <w:rsid w:val="00C23EE8"/>
    <w:rsid w:val="00C32D58"/>
    <w:rsid w:val="00C3719B"/>
    <w:rsid w:val="00C62A05"/>
    <w:rsid w:val="00C838F0"/>
    <w:rsid w:val="00C9241F"/>
    <w:rsid w:val="00C9625A"/>
    <w:rsid w:val="00CA2384"/>
    <w:rsid w:val="00CA2BA0"/>
    <w:rsid w:val="00CB011C"/>
    <w:rsid w:val="00CC1A24"/>
    <w:rsid w:val="00CE3AF9"/>
    <w:rsid w:val="00CE7943"/>
    <w:rsid w:val="00D042D8"/>
    <w:rsid w:val="00D17257"/>
    <w:rsid w:val="00D24622"/>
    <w:rsid w:val="00D35CFA"/>
    <w:rsid w:val="00D7081F"/>
    <w:rsid w:val="00D94681"/>
    <w:rsid w:val="00D97502"/>
    <w:rsid w:val="00DA6F53"/>
    <w:rsid w:val="00DB703A"/>
    <w:rsid w:val="00DD4497"/>
    <w:rsid w:val="00DE0167"/>
    <w:rsid w:val="00E01860"/>
    <w:rsid w:val="00E51405"/>
    <w:rsid w:val="00E71AF0"/>
    <w:rsid w:val="00E721CA"/>
    <w:rsid w:val="00EB5E59"/>
    <w:rsid w:val="00ED5BAC"/>
    <w:rsid w:val="00F01F9C"/>
    <w:rsid w:val="00F11075"/>
    <w:rsid w:val="00F11CBC"/>
    <w:rsid w:val="00F21306"/>
    <w:rsid w:val="00F2171D"/>
    <w:rsid w:val="00F21B21"/>
    <w:rsid w:val="00F32E25"/>
    <w:rsid w:val="00F36055"/>
    <w:rsid w:val="00F37DEA"/>
    <w:rsid w:val="00F43F33"/>
    <w:rsid w:val="00F61361"/>
    <w:rsid w:val="00F833DE"/>
    <w:rsid w:val="00F859DF"/>
    <w:rsid w:val="00F94ABA"/>
    <w:rsid w:val="00F952B4"/>
    <w:rsid w:val="00FD21A1"/>
    <w:rsid w:val="00FE2674"/>
    <w:rsid w:val="00FE2F38"/>
    <w:rsid w:val="00FF0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5C50"/>
  <w15:chartTrackingRefBased/>
  <w15:docId w15:val="{A1C109DD-CF8A-4559-9F75-2CE55C4C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3C30"/>
    <w:pPr>
      <w:spacing w:after="0" w:line="240" w:lineRule="auto"/>
      <w:ind w:left="720"/>
    </w:pPr>
    <w:rPr>
      <w:rFonts w:ascii="Calibri" w:hAnsi="Calibri" w:cs="Calibri"/>
    </w:rPr>
  </w:style>
  <w:style w:type="character" w:styleId="Odwoaniedokomentarza">
    <w:name w:val="annotation reference"/>
    <w:basedOn w:val="Domylnaczcionkaakapitu"/>
    <w:unhideWhenUsed/>
    <w:rsid w:val="00C838F0"/>
    <w:rPr>
      <w:sz w:val="16"/>
      <w:szCs w:val="16"/>
    </w:rPr>
  </w:style>
  <w:style w:type="paragraph" w:styleId="Tekstkomentarza">
    <w:name w:val="annotation text"/>
    <w:basedOn w:val="Normalny"/>
    <w:link w:val="TekstkomentarzaZnak"/>
    <w:unhideWhenUsed/>
    <w:rsid w:val="00C838F0"/>
    <w:pPr>
      <w:spacing w:line="240" w:lineRule="auto"/>
    </w:pPr>
    <w:rPr>
      <w:sz w:val="20"/>
      <w:szCs w:val="20"/>
    </w:rPr>
  </w:style>
  <w:style w:type="character" w:customStyle="1" w:styleId="TekstkomentarzaZnak">
    <w:name w:val="Tekst komentarza Znak"/>
    <w:basedOn w:val="Domylnaczcionkaakapitu"/>
    <w:link w:val="Tekstkomentarza"/>
    <w:rsid w:val="00C838F0"/>
    <w:rPr>
      <w:sz w:val="20"/>
      <w:szCs w:val="20"/>
    </w:rPr>
  </w:style>
  <w:style w:type="paragraph" w:styleId="Tematkomentarza">
    <w:name w:val="annotation subject"/>
    <w:basedOn w:val="Tekstkomentarza"/>
    <w:next w:val="Tekstkomentarza"/>
    <w:link w:val="TematkomentarzaZnak"/>
    <w:uiPriority w:val="99"/>
    <w:semiHidden/>
    <w:unhideWhenUsed/>
    <w:rsid w:val="00C838F0"/>
    <w:rPr>
      <w:b/>
      <w:bCs/>
    </w:rPr>
  </w:style>
  <w:style w:type="character" w:customStyle="1" w:styleId="TematkomentarzaZnak">
    <w:name w:val="Temat komentarza Znak"/>
    <w:basedOn w:val="TekstkomentarzaZnak"/>
    <w:link w:val="Tematkomentarza"/>
    <w:uiPriority w:val="99"/>
    <w:semiHidden/>
    <w:rsid w:val="00C838F0"/>
    <w:rPr>
      <w:b/>
      <w:bCs/>
      <w:sz w:val="20"/>
      <w:szCs w:val="20"/>
    </w:rPr>
  </w:style>
  <w:style w:type="paragraph" w:styleId="Tekstdymka">
    <w:name w:val="Balloon Text"/>
    <w:basedOn w:val="Normalny"/>
    <w:link w:val="TekstdymkaZnak"/>
    <w:uiPriority w:val="99"/>
    <w:semiHidden/>
    <w:unhideWhenUsed/>
    <w:rsid w:val="00C838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8F0"/>
    <w:rPr>
      <w:rFonts w:ascii="Segoe UI" w:hAnsi="Segoe UI" w:cs="Segoe UI"/>
      <w:sz w:val="18"/>
      <w:szCs w:val="18"/>
    </w:rPr>
  </w:style>
  <w:style w:type="paragraph" w:styleId="Bezodstpw">
    <w:name w:val="No Spacing"/>
    <w:uiPriority w:val="1"/>
    <w:qFormat/>
    <w:rsid w:val="009C7BBD"/>
    <w:pPr>
      <w:spacing w:after="0" w:line="240" w:lineRule="auto"/>
    </w:pPr>
  </w:style>
  <w:style w:type="paragraph" w:styleId="NormalnyWeb">
    <w:name w:val="Normal (Web)"/>
    <w:basedOn w:val="Normalny"/>
    <w:uiPriority w:val="99"/>
    <w:semiHidden/>
    <w:unhideWhenUsed/>
    <w:rsid w:val="00F859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7744C"/>
    <w:rPr>
      <w:color w:val="0000FF"/>
      <w:u w:val="single"/>
    </w:rPr>
  </w:style>
  <w:style w:type="paragraph" w:styleId="Nagwek">
    <w:name w:val="header"/>
    <w:basedOn w:val="Normalny"/>
    <w:link w:val="NagwekZnak"/>
    <w:uiPriority w:val="99"/>
    <w:unhideWhenUsed/>
    <w:rsid w:val="00333B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3BEA"/>
  </w:style>
  <w:style w:type="paragraph" w:styleId="Stopka">
    <w:name w:val="footer"/>
    <w:basedOn w:val="Normalny"/>
    <w:link w:val="StopkaZnak"/>
    <w:uiPriority w:val="99"/>
    <w:unhideWhenUsed/>
    <w:rsid w:val="00333B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3BEA"/>
  </w:style>
  <w:style w:type="character" w:styleId="Uwydatnienie">
    <w:name w:val="Emphasis"/>
    <w:basedOn w:val="Domylnaczcionkaakapitu"/>
    <w:uiPriority w:val="20"/>
    <w:qFormat/>
    <w:rsid w:val="009D0B79"/>
    <w:rPr>
      <w:i/>
      <w:iCs/>
    </w:rPr>
  </w:style>
  <w:style w:type="paragraph" w:styleId="Poprawka">
    <w:name w:val="Revision"/>
    <w:hidden/>
    <w:uiPriority w:val="99"/>
    <w:semiHidden/>
    <w:rsid w:val="003571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85890">
      <w:bodyDiv w:val="1"/>
      <w:marLeft w:val="0"/>
      <w:marRight w:val="0"/>
      <w:marTop w:val="0"/>
      <w:marBottom w:val="0"/>
      <w:divBdr>
        <w:top w:val="none" w:sz="0" w:space="0" w:color="auto"/>
        <w:left w:val="none" w:sz="0" w:space="0" w:color="auto"/>
        <w:bottom w:val="none" w:sz="0" w:space="0" w:color="auto"/>
        <w:right w:val="none" w:sz="0" w:space="0" w:color="auto"/>
      </w:divBdr>
    </w:div>
    <w:div w:id="720790048">
      <w:bodyDiv w:val="1"/>
      <w:marLeft w:val="0"/>
      <w:marRight w:val="0"/>
      <w:marTop w:val="0"/>
      <w:marBottom w:val="0"/>
      <w:divBdr>
        <w:top w:val="none" w:sz="0" w:space="0" w:color="auto"/>
        <w:left w:val="none" w:sz="0" w:space="0" w:color="auto"/>
        <w:bottom w:val="none" w:sz="0" w:space="0" w:color="auto"/>
        <w:right w:val="none" w:sz="0" w:space="0" w:color="auto"/>
      </w:divBdr>
    </w:div>
    <w:div w:id="1080640499">
      <w:bodyDiv w:val="1"/>
      <w:marLeft w:val="0"/>
      <w:marRight w:val="0"/>
      <w:marTop w:val="0"/>
      <w:marBottom w:val="0"/>
      <w:divBdr>
        <w:top w:val="none" w:sz="0" w:space="0" w:color="auto"/>
        <w:left w:val="none" w:sz="0" w:space="0" w:color="auto"/>
        <w:bottom w:val="none" w:sz="0" w:space="0" w:color="auto"/>
        <w:right w:val="none" w:sz="0" w:space="0" w:color="auto"/>
      </w:divBdr>
    </w:div>
    <w:div w:id="1251158962">
      <w:bodyDiv w:val="1"/>
      <w:marLeft w:val="0"/>
      <w:marRight w:val="0"/>
      <w:marTop w:val="0"/>
      <w:marBottom w:val="0"/>
      <w:divBdr>
        <w:top w:val="none" w:sz="0" w:space="0" w:color="auto"/>
        <w:left w:val="none" w:sz="0" w:space="0" w:color="auto"/>
        <w:bottom w:val="none" w:sz="0" w:space="0" w:color="auto"/>
        <w:right w:val="none" w:sz="0" w:space="0" w:color="auto"/>
      </w:divBdr>
    </w:div>
    <w:div w:id="1502157933">
      <w:bodyDiv w:val="1"/>
      <w:marLeft w:val="0"/>
      <w:marRight w:val="0"/>
      <w:marTop w:val="0"/>
      <w:marBottom w:val="0"/>
      <w:divBdr>
        <w:top w:val="none" w:sz="0" w:space="0" w:color="auto"/>
        <w:left w:val="none" w:sz="0" w:space="0" w:color="auto"/>
        <w:bottom w:val="none" w:sz="0" w:space="0" w:color="auto"/>
        <w:right w:val="none" w:sz="0" w:space="0" w:color="auto"/>
      </w:divBdr>
    </w:div>
    <w:div w:id="1603410999">
      <w:bodyDiv w:val="1"/>
      <w:marLeft w:val="0"/>
      <w:marRight w:val="0"/>
      <w:marTop w:val="0"/>
      <w:marBottom w:val="0"/>
      <w:divBdr>
        <w:top w:val="none" w:sz="0" w:space="0" w:color="auto"/>
        <w:left w:val="none" w:sz="0" w:space="0" w:color="auto"/>
        <w:bottom w:val="none" w:sz="0" w:space="0" w:color="auto"/>
        <w:right w:val="none" w:sz="0" w:space="0" w:color="auto"/>
      </w:divBdr>
      <w:divsChild>
        <w:div w:id="1200508769">
          <w:marLeft w:val="0"/>
          <w:marRight w:val="0"/>
          <w:marTop w:val="0"/>
          <w:marBottom w:val="0"/>
          <w:divBdr>
            <w:top w:val="none" w:sz="0" w:space="0" w:color="auto"/>
            <w:left w:val="none" w:sz="0" w:space="0" w:color="auto"/>
            <w:bottom w:val="none" w:sz="0" w:space="0" w:color="auto"/>
            <w:right w:val="none" w:sz="0" w:space="0" w:color="auto"/>
          </w:divBdr>
        </w:div>
        <w:div w:id="1393191232">
          <w:marLeft w:val="0"/>
          <w:marRight w:val="0"/>
          <w:marTop w:val="0"/>
          <w:marBottom w:val="0"/>
          <w:divBdr>
            <w:top w:val="none" w:sz="0" w:space="0" w:color="auto"/>
            <w:left w:val="none" w:sz="0" w:space="0" w:color="auto"/>
            <w:bottom w:val="none" w:sz="0" w:space="0" w:color="auto"/>
            <w:right w:val="none" w:sz="0" w:space="0" w:color="auto"/>
          </w:divBdr>
        </w:div>
      </w:divsChild>
    </w:div>
    <w:div w:id="1702247306">
      <w:bodyDiv w:val="1"/>
      <w:marLeft w:val="0"/>
      <w:marRight w:val="0"/>
      <w:marTop w:val="0"/>
      <w:marBottom w:val="0"/>
      <w:divBdr>
        <w:top w:val="none" w:sz="0" w:space="0" w:color="auto"/>
        <w:left w:val="none" w:sz="0" w:space="0" w:color="auto"/>
        <w:bottom w:val="none" w:sz="0" w:space="0" w:color="auto"/>
        <w:right w:val="none" w:sz="0" w:space="0" w:color="auto"/>
      </w:divBdr>
    </w:div>
    <w:div w:id="1788504216">
      <w:bodyDiv w:val="1"/>
      <w:marLeft w:val="0"/>
      <w:marRight w:val="0"/>
      <w:marTop w:val="0"/>
      <w:marBottom w:val="0"/>
      <w:divBdr>
        <w:top w:val="none" w:sz="0" w:space="0" w:color="auto"/>
        <w:left w:val="none" w:sz="0" w:space="0" w:color="auto"/>
        <w:bottom w:val="none" w:sz="0" w:space="0" w:color="auto"/>
        <w:right w:val="none" w:sz="0" w:space="0" w:color="auto"/>
      </w:divBdr>
    </w:div>
    <w:div w:id="182165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5239-B574-45E2-8A29-4B398E8E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1677</Words>
  <Characters>10066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Porcz Marta</dc:creator>
  <cp:keywords/>
  <dc:description/>
  <cp:lastModifiedBy>Chronowska-Panek Renata</cp:lastModifiedBy>
  <cp:revision>6</cp:revision>
  <cp:lastPrinted>2021-11-02T10:18:00Z</cp:lastPrinted>
  <dcterms:created xsi:type="dcterms:W3CDTF">2021-10-29T12:55:00Z</dcterms:created>
  <dcterms:modified xsi:type="dcterms:W3CDTF">2021-11-03T08:11:00Z</dcterms:modified>
</cp:coreProperties>
</file>