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B757" w14:textId="721E21EA" w:rsidR="005D75ED" w:rsidRPr="005D75ED" w:rsidRDefault="005D75ED" w:rsidP="005D75ED">
      <w:pPr>
        <w:spacing w:after="0" w:line="240" w:lineRule="auto"/>
        <w:ind w:firstLine="1985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5D75E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OPINIA NR </w:t>
      </w:r>
      <w:r w:rsidR="005A462F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95/2021</w:t>
      </w:r>
    </w:p>
    <w:p w14:paraId="44AD50E2" w14:textId="77777777" w:rsidR="005D75ED" w:rsidRPr="005D75ED" w:rsidRDefault="005D75ED" w:rsidP="005D75ED">
      <w:pPr>
        <w:spacing w:after="0" w:line="240" w:lineRule="auto"/>
        <w:ind w:firstLine="1985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5D75E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PREZYDENTA MIASTA KRAKOWA</w:t>
      </w:r>
    </w:p>
    <w:p w14:paraId="4804C47E" w14:textId="026A77AA" w:rsidR="005D75ED" w:rsidRPr="005D75ED" w:rsidRDefault="005D75ED" w:rsidP="005D75ED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5D75ED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Z DNIA </w:t>
      </w:r>
      <w:r w:rsidR="005A462F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20 </w:t>
      </w:r>
      <w:r w:rsidR="005A462F" w:rsidRPr="005A462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sierpnia 2021 r.</w:t>
      </w:r>
    </w:p>
    <w:p w14:paraId="79F3002B" w14:textId="40139B69" w:rsidR="005D75ED" w:rsidRDefault="005D75ED" w:rsidP="005D7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bookmarkStart w:id="0" w:name="_GoBack"/>
      <w:bookmarkEnd w:id="0"/>
    </w:p>
    <w:p w14:paraId="4B3DD792" w14:textId="77777777" w:rsidR="005F6C61" w:rsidRPr="005D75ED" w:rsidRDefault="005F6C61" w:rsidP="005D75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14:paraId="2835DB0A" w14:textId="7D0A7420" w:rsidR="00F46820" w:rsidRPr="007901A3" w:rsidRDefault="00980654" w:rsidP="00AF5E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dotycząca</w:t>
      </w:r>
      <w:r w:rsidR="00F46820" w:rsidRPr="007901A3">
        <w:rPr>
          <w:rFonts w:ascii="Times New Roman" w:hAnsi="Times New Roman" w:cs="Times New Roman"/>
          <w:b/>
          <w:sz w:val="24"/>
          <w:szCs w:val="24"/>
        </w:rPr>
        <w:t xml:space="preserve"> projektu rezolucji Rady Miasta Krakowa do Premiera RP, Marszałka Województwa </w:t>
      </w:r>
      <w:r w:rsidR="00DE317C" w:rsidRPr="007901A3">
        <w:rPr>
          <w:rFonts w:ascii="Times New Roman" w:hAnsi="Times New Roman" w:cs="Times New Roman"/>
          <w:b/>
          <w:sz w:val="24"/>
          <w:szCs w:val="24"/>
        </w:rPr>
        <w:t>M</w:t>
      </w:r>
      <w:r w:rsidR="00F46820" w:rsidRPr="007901A3">
        <w:rPr>
          <w:rFonts w:ascii="Times New Roman" w:hAnsi="Times New Roman" w:cs="Times New Roman"/>
          <w:b/>
          <w:sz w:val="24"/>
          <w:szCs w:val="24"/>
        </w:rPr>
        <w:t xml:space="preserve">ałopolskiego, Prezydenta Miasta Krakowa </w:t>
      </w:r>
      <w:r w:rsidR="00F46820" w:rsidRPr="00980654">
        <w:rPr>
          <w:rFonts w:ascii="Times New Roman" w:hAnsi="Times New Roman" w:cs="Times New Roman"/>
          <w:b/>
          <w:i/>
          <w:sz w:val="24"/>
          <w:szCs w:val="24"/>
        </w:rPr>
        <w:t>w sprawie zachowania wielkiego pieca i</w:t>
      </w:r>
      <w:r w:rsidR="005D75ED" w:rsidRPr="009806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6820" w:rsidRPr="00980654">
        <w:rPr>
          <w:rFonts w:ascii="Times New Roman" w:hAnsi="Times New Roman" w:cs="Times New Roman"/>
          <w:b/>
          <w:i/>
          <w:sz w:val="24"/>
          <w:szCs w:val="24"/>
        </w:rPr>
        <w:t>utworzenia ścieżki edukacyjnej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6820" w:rsidRPr="007901A3">
        <w:rPr>
          <w:rFonts w:ascii="Times New Roman" w:hAnsi="Times New Roman" w:cs="Times New Roman"/>
          <w:b/>
          <w:sz w:val="24"/>
          <w:szCs w:val="24"/>
        </w:rPr>
        <w:t>– druk nr 2088-R</w:t>
      </w:r>
      <w:r w:rsidR="00550EC7">
        <w:rPr>
          <w:rFonts w:ascii="Times New Roman" w:hAnsi="Times New Roman" w:cs="Times New Roman"/>
          <w:b/>
          <w:sz w:val="24"/>
          <w:szCs w:val="24"/>
        </w:rPr>
        <w:t>.</w:t>
      </w:r>
    </w:p>
    <w:p w14:paraId="3520C914" w14:textId="6A13E635" w:rsidR="00F46820" w:rsidRPr="00F46820" w:rsidRDefault="00F46820" w:rsidP="00AF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6820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a podstawie § 30 ust. 4 pkt  4 </w:t>
      </w:r>
      <w:r w:rsidRPr="00F46820">
        <w:rPr>
          <w:rFonts w:ascii="Times New Roman" w:hAnsi="Times New Roman" w:cs="Times New Roman"/>
          <w:sz w:val="20"/>
          <w:szCs w:val="20"/>
        </w:rPr>
        <w:t xml:space="preserve">Statutu Miasta Krakowa stanowiącego załącznik do uchwały </w:t>
      </w:r>
      <w:r w:rsidR="006E7E87">
        <w:rPr>
          <w:rFonts w:ascii="Times New Roman" w:hAnsi="Times New Roman" w:cs="Times New Roman"/>
          <w:sz w:val="20"/>
          <w:szCs w:val="20"/>
        </w:rPr>
        <w:t>n</w:t>
      </w:r>
      <w:r w:rsidRPr="00F46820">
        <w:rPr>
          <w:rFonts w:ascii="Times New Roman" w:hAnsi="Times New Roman" w:cs="Times New Roman"/>
          <w:sz w:val="20"/>
          <w:szCs w:val="20"/>
        </w:rPr>
        <w:t xml:space="preserve">r XLVIII/435/96 Rady Miasta Krakowa z dnia 24 kwietnia 1996 r. (Dz. Urz. Woj. </w:t>
      </w:r>
      <w:proofErr w:type="spellStart"/>
      <w:r w:rsidRPr="00F46820">
        <w:rPr>
          <w:rFonts w:ascii="Times New Roman" w:hAnsi="Times New Roman" w:cs="Times New Roman"/>
          <w:sz w:val="20"/>
          <w:szCs w:val="20"/>
        </w:rPr>
        <w:t>Małop</w:t>
      </w:r>
      <w:proofErr w:type="spellEnd"/>
      <w:r w:rsidRPr="00F46820">
        <w:rPr>
          <w:rFonts w:ascii="Times New Roman" w:hAnsi="Times New Roman" w:cs="Times New Roman"/>
          <w:sz w:val="20"/>
          <w:szCs w:val="20"/>
        </w:rPr>
        <w:t>. z 2019 r. poz. 7074</w:t>
      </w:r>
      <w:r w:rsidR="006E7E87">
        <w:rPr>
          <w:rFonts w:ascii="Times New Roman" w:hAnsi="Times New Roman" w:cs="Times New Roman"/>
          <w:sz w:val="20"/>
          <w:szCs w:val="20"/>
        </w:rPr>
        <w:t xml:space="preserve"> oraz</w:t>
      </w:r>
      <w:r w:rsidRPr="00F46820">
        <w:rPr>
          <w:rFonts w:ascii="Times New Roman" w:hAnsi="Times New Roman" w:cs="Times New Roman"/>
          <w:sz w:val="20"/>
          <w:szCs w:val="20"/>
        </w:rPr>
        <w:t xml:space="preserve"> z 2020 r. </w:t>
      </w:r>
      <w:r w:rsidR="006E7E87">
        <w:rPr>
          <w:rFonts w:ascii="Times New Roman" w:hAnsi="Times New Roman" w:cs="Times New Roman"/>
          <w:sz w:val="20"/>
          <w:szCs w:val="20"/>
        </w:rPr>
        <w:t xml:space="preserve">poz. </w:t>
      </w:r>
      <w:r w:rsidRPr="00F46820">
        <w:rPr>
          <w:rFonts w:ascii="Times New Roman" w:hAnsi="Times New Roman" w:cs="Times New Roman"/>
          <w:sz w:val="20"/>
          <w:szCs w:val="20"/>
        </w:rPr>
        <w:t>919) postanawia się, co następuje:</w:t>
      </w:r>
    </w:p>
    <w:p w14:paraId="45CEE034" w14:textId="77777777" w:rsidR="00F46820" w:rsidRPr="00F46820" w:rsidRDefault="00F46820" w:rsidP="00AF5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BFFDC" w14:textId="1515F048" w:rsidR="00F46820" w:rsidRPr="00F46820" w:rsidRDefault="00F46820" w:rsidP="005D75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FA">
        <w:rPr>
          <w:rFonts w:ascii="Times New Roman" w:hAnsi="Times New Roman" w:cs="Times New Roman"/>
          <w:b/>
          <w:sz w:val="24"/>
          <w:szCs w:val="24"/>
        </w:rPr>
        <w:t>Opiniuje się negatywnie</w:t>
      </w:r>
      <w:r w:rsidRPr="00F46820">
        <w:rPr>
          <w:rFonts w:ascii="Times New Roman" w:hAnsi="Times New Roman" w:cs="Times New Roman"/>
          <w:sz w:val="24"/>
          <w:szCs w:val="24"/>
        </w:rPr>
        <w:t xml:space="preserve"> projekt rezolucji w sprawie zachowania wielkiego pieca i utworzenia ścieżki edukacyjnej wniesiony przez Grupę Radnych</w:t>
      </w:r>
      <w:r w:rsidR="002813E0">
        <w:rPr>
          <w:rFonts w:ascii="Times New Roman" w:hAnsi="Times New Roman" w:cs="Times New Roman"/>
          <w:sz w:val="24"/>
          <w:szCs w:val="24"/>
        </w:rPr>
        <w:t xml:space="preserve"> </w:t>
      </w:r>
      <w:r w:rsidRPr="00F46820">
        <w:rPr>
          <w:rFonts w:ascii="Times New Roman" w:hAnsi="Times New Roman" w:cs="Times New Roman"/>
          <w:sz w:val="24"/>
          <w:szCs w:val="24"/>
        </w:rPr>
        <w:t xml:space="preserve">– </w:t>
      </w:r>
      <w:r w:rsidRPr="001058FA">
        <w:rPr>
          <w:rFonts w:ascii="Times New Roman" w:hAnsi="Times New Roman" w:cs="Times New Roman"/>
          <w:b/>
          <w:sz w:val="24"/>
          <w:szCs w:val="24"/>
        </w:rPr>
        <w:t>druk nr 2088-R</w:t>
      </w:r>
      <w:r w:rsidR="00550EC7" w:rsidRPr="001058FA">
        <w:rPr>
          <w:rFonts w:ascii="Times New Roman" w:hAnsi="Times New Roman" w:cs="Times New Roman"/>
          <w:b/>
          <w:sz w:val="24"/>
          <w:szCs w:val="24"/>
        </w:rPr>
        <w:t>.</w:t>
      </w:r>
    </w:p>
    <w:p w14:paraId="1AE26C70" w14:textId="77777777" w:rsidR="007901A3" w:rsidRDefault="007901A3" w:rsidP="009436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66FCF" w14:textId="15EA6BCE" w:rsidR="00F46820" w:rsidRDefault="00F46820" w:rsidP="009436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82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BE7C206" w14:textId="77777777" w:rsidR="00943687" w:rsidRPr="00F46820" w:rsidRDefault="00943687" w:rsidP="009436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C0E12" w14:textId="05AFA8FE" w:rsidR="009B4916" w:rsidRPr="00ED0C84" w:rsidRDefault="00A0687F" w:rsidP="0094368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C84">
        <w:rPr>
          <w:rFonts w:ascii="Times New Roman" w:hAnsi="Times New Roman" w:cs="Times New Roman"/>
          <w:bCs/>
          <w:sz w:val="24"/>
          <w:szCs w:val="24"/>
        </w:rPr>
        <w:t>Teren krakowskiego kombinatu</w:t>
      </w:r>
      <w:r w:rsidR="00FC7D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0C84">
        <w:rPr>
          <w:rFonts w:ascii="Times New Roman" w:hAnsi="Times New Roman" w:cs="Times New Roman"/>
          <w:bCs/>
          <w:sz w:val="24"/>
          <w:szCs w:val="24"/>
        </w:rPr>
        <w:t xml:space="preserve">- dawnej Huty im. </w:t>
      </w:r>
      <w:r w:rsidR="00B84F61" w:rsidRPr="00ED0C84">
        <w:rPr>
          <w:rFonts w:ascii="Times New Roman" w:hAnsi="Times New Roman" w:cs="Times New Roman"/>
          <w:bCs/>
          <w:sz w:val="24"/>
          <w:szCs w:val="24"/>
        </w:rPr>
        <w:t xml:space="preserve">Lenina, </w:t>
      </w:r>
      <w:r w:rsidR="00DE317C" w:rsidRPr="00ED0C84">
        <w:rPr>
          <w:rFonts w:ascii="Times New Roman" w:hAnsi="Times New Roman" w:cs="Times New Roman"/>
          <w:bCs/>
          <w:sz w:val="24"/>
          <w:szCs w:val="24"/>
        </w:rPr>
        <w:t>póź</w:t>
      </w:r>
      <w:r w:rsidR="00A37645" w:rsidRPr="00ED0C84">
        <w:rPr>
          <w:rFonts w:ascii="Times New Roman" w:hAnsi="Times New Roman" w:cs="Times New Roman"/>
          <w:bCs/>
          <w:sz w:val="24"/>
          <w:szCs w:val="24"/>
        </w:rPr>
        <w:t>niej</w:t>
      </w:r>
      <w:r w:rsidR="00B84F61" w:rsidRPr="00ED0C84">
        <w:rPr>
          <w:rFonts w:ascii="Times New Roman" w:hAnsi="Times New Roman" w:cs="Times New Roman"/>
          <w:bCs/>
          <w:sz w:val="24"/>
          <w:szCs w:val="24"/>
        </w:rPr>
        <w:t xml:space="preserve"> im. Tadeusza</w:t>
      </w:r>
      <w:r w:rsidRPr="00ED0C84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720CE6">
        <w:rPr>
          <w:rFonts w:ascii="Times New Roman" w:hAnsi="Times New Roman" w:cs="Times New Roman"/>
          <w:bCs/>
          <w:sz w:val="24"/>
          <w:szCs w:val="24"/>
        </w:rPr>
        <w:t>en</w:t>
      </w:r>
      <w:r w:rsidRPr="00ED0C84">
        <w:rPr>
          <w:rFonts w:ascii="Times New Roman" w:hAnsi="Times New Roman" w:cs="Times New Roman"/>
          <w:bCs/>
          <w:sz w:val="24"/>
          <w:szCs w:val="24"/>
        </w:rPr>
        <w:t xml:space="preserve">dzimira nie stanowi własności Gminy Miejskiej Kraków. Nieruchomość </w:t>
      </w:r>
      <w:r w:rsidR="00E7637E" w:rsidRPr="00ED0C84">
        <w:rPr>
          <w:rFonts w:ascii="Times New Roman" w:hAnsi="Times New Roman" w:cs="Times New Roman"/>
          <w:bCs/>
          <w:sz w:val="24"/>
          <w:szCs w:val="24"/>
        </w:rPr>
        <w:t>jest</w:t>
      </w:r>
      <w:r w:rsidR="00513A97" w:rsidRPr="00ED0C84">
        <w:rPr>
          <w:rFonts w:ascii="Times New Roman" w:hAnsi="Times New Roman" w:cs="Times New Roman"/>
          <w:bCs/>
          <w:sz w:val="24"/>
          <w:szCs w:val="24"/>
        </w:rPr>
        <w:t xml:space="preserve"> obecnie w</w:t>
      </w:r>
      <w:r w:rsidR="00A307AB">
        <w:rPr>
          <w:rFonts w:ascii="Times New Roman" w:hAnsi="Times New Roman" w:cs="Times New Roman"/>
          <w:bCs/>
          <w:sz w:val="24"/>
          <w:szCs w:val="24"/>
        </w:rPr>
        <w:t> </w:t>
      </w:r>
      <w:r w:rsidR="00513A97" w:rsidRPr="00ED0C84">
        <w:rPr>
          <w:rFonts w:ascii="Times New Roman" w:hAnsi="Times New Roman" w:cs="Times New Roman"/>
          <w:bCs/>
          <w:sz w:val="24"/>
          <w:szCs w:val="24"/>
        </w:rPr>
        <w:t>posiadaniu</w:t>
      </w:r>
      <w:r w:rsidR="00ED0C84">
        <w:rPr>
          <w:rFonts w:ascii="Times New Roman" w:hAnsi="Times New Roman" w:cs="Times New Roman"/>
          <w:bCs/>
          <w:sz w:val="24"/>
          <w:szCs w:val="24"/>
        </w:rPr>
        <w:t xml:space="preserve"> firmy </w:t>
      </w:r>
      <w:proofErr w:type="spellStart"/>
      <w:r w:rsidR="00ED0C84">
        <w:rPr>
          <w:rFonts w:ascii="Times New Roman" w:hAnsi="Times New Roman" w:cs="Times New Roman"/>
          <w:bCs/>
          <w:sz w:val="24"/>
          <w:szCs w:val="24"/>
        </w:rPr>
        <w:t>Arcelor</w:t>
      </w:r>
      <w:r w:rsidR="00E7637E" w:rsidRPr="00ED0C84">
        <w:rPr>
          <w:rFonts w:ascii="Times New Roman" w:hAnsi="Times New Roman" w:cs="Times New Roman"/>
          <w:bCs/>
          <w:sz w:val="24"/>
          <w:szCs w:val="24"/>
        </w:rPr>
        <w:t>Mittal</w:t>
      </w:r>
      <w:proofErr w:type="spellEnd"/>
      <w:r w:rsidR="00E7637E" w:rsidRPr="00ED0C84">
        <w:rPr>
          <w:rFonts w:ascii="Times New Roman" w:hAnsi="Times New Roman" w:cs="Times New Roman"/>
          <w:bCs/>
          <w:sz w:val="24"/>
          <w:szCs w:val="24"/>
        </w:rPr>
        <w:t xml:space="preserve"> Poland</w:t>
      </w:r>
      <w:r w:rsidR="00F377F6">
        <w:rPr>
          <w:rFonts w:ascii="Times New Roman" w:hAnsi="Times New Roman" w:cs="Times New Roman"/>
          <w:bCs/>
          <w:sz w:val="24"/>
          <w:szCs w:val="24"/>
        </w:rPr>
        <w:t xml:space="preserve"> S.A</w:t>
      </w:r>
      <w:r w:rsidR="00ED0C8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13A97" w:rsidRPr="00ED0C84">
        <w:rPr>
          <w:rFonts w:ascii="Times New Roman" w:hAnsi="Times New Roman" w:cs="Times New Roman"/>
          <w:bCs/>
          <w:sz w:val="24"/>
          <w:szCs w:val="24"/>
        </w:rPr>
        <w:t>Proponuje się zatem stworzenie ścieżki edukacyjnej na gruncie prywatnym, nienależącym do Gminy</w:t>
      </w:r>
      <w:r w:rsidR="005C20F0">
        <w:rPr>
          <w:rFonts w:ascii="Times New Roman" w:hAnsi="Times New Roman" w:cs="Times New Roman"/>
          <w:bCs/>
          <w:sz w:val="24"/>
          <w:szCs w:val="24"/>
        </w:rPr>
        <w:t>,</w:t>
      </w:r>
      <w:r w:rsidR="00513A97" w:rsidRPr="00ED0C84">
        <w:rPr>
          <w:rFonts w:ascii="Times New Roman" w:hAnsi="Times New Roman" w:cs="Times New Roman"/>
          <w:bCs/>
          <w:sz w:val="24"/>
          <w:szCs w:val="24"/>
        </w:rPr>
        <w:t xml:space="preserve"> czy Skarbu Państwa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>. P</w:t>
      </w:r>
      <w:r w:rsidR="00513A97" w:rsidRPr="00ED0C84">
        <w:rPr>
          <w:rFonts w:ascii="Times New Roman" w:hAnsi="Times New Roman" w:cs="Times New Roman"/>
          <w:bCs/>
          <w:sz w:val="24"/>
          <w:szCs w:val="24"/>
        </w:rPr>
        <w:t xml:space="preserve">onadto 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ścieżka </w:t>
      </w:r>
      <w:r w:rsidR="00A37645" w:rsidRPr="00ED0C84">
        <w:rPr>
          <w:rFonts w:ascii="Times New Roman" w:hAnsi="Times New Roman" w:cs="Times New Roman"/>
          <w:bCs/>
          <w:sz w:val="24"/>
          <w:szCs w:val="24"/>
        </w:rPr>
        <w:t xml:space="preserve">prowadziłaby przez </w:t>
      </w:r>
      <w:r w:rsidR="00A42761" w:rsidRPr="00ED0C84">
        <w:rPr>
          <w:rFonts w:ascii="Times New Roman" w:hAnsi="Times New Roman" w:cs="Times New Roman"/>
          <w:bCs/>
          <w:sz w:val="24"/>
          <w:szCs w:val="24"/>
        </w:rPr>
        <w:t xml:space="preserve">teren </w:t>
      </w:r>
      <w:r w:rsidR="00CA6A54" w:rsidRPr="00ED0C84">
        <w:rPr>
          <w:rFonts w:ascii="Times New Roman" w:hAnsi="Times New Roman" w:cs="Times New Roman"/>
          <w:bCs/>
          <w:sz w:val="24"/>
          <w:szCs w:val="24"/>
        </w:rPr>
        <w:t>czynnego</w:t>
      </w:r>
      <w:r w:rsidR="00513A97" w:rsidRPr="00ED0C84">
        <w:rPr>
          <w:rFonts w:ascii="Times New Roman" w:hAnsi="Times New Roman" w:cs="Times New Roman"/>
          <w:bCs/>
          <w:sz w:val="24"/>
          <w:szCs w:val="24"/>
        </w:rPr>
        <w:t xml:space="preserve"> zakładu pracy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>. Gener</w:t>
      </w:r>
      <w:r w:rsidR="0067537A">
        <w:rPr>
          <w:rFonts w:ascii="Times New Roman" w:hAnsi="Times New Roman" w:cs="Times New Roman"/>
          <w:bCs/>
          <w:sz w:val="24"/>
          <w:szCs w:val="24"/>
        </w:rPr>
        <w:t>owałoby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 w:rsidR="0067537A">
        <w:rPr>
          <w:rFonts w:ascii="Times New Roman" w:hAnsi="Times New Roman" w:cs="Times New Roman"/>
          <w:bCs/>
          <w:sz w:val="24"/>
          <w:szCs w:val="24"/>
        </w:rPr>
        <w:t xml:space="preserve">zatem 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poważne trudności związane zarówno </w:t>
      </w:r>
      <w:r w:rsidR="0067537A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prawidłowym funkcjonowaniem miejsca pracy, jak </w:t>
      </w:r>
      <w:r w:rsidR="005F6C61">
        <w:rPr>
          <w:rFonts w:ascii="Times New Roman" w:hAnsi="Times New Roman" w:cs="Times New Roman"/>
          <w:bCs/>
          <w:sz w:val="24"/>
          <w:szCs w:val="24"/>
        </w:rPr>
        <w:br/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i z zapewnieniem odpowiedniego bezpieczeństwa zwiedzającym. </w:t>
      </w:r>
      <w:r w:rsidR="00A37645" w:rsidRPr="00ED0C84">
        <w:rPr>
          <w:rFonts w:ascii="Times New Roman" w:hAnsi="Times New Roman" w:cs="Times New Roman"/>
          <w:bCs/>
          <w:sz w:val="24"/>
          <w:szCs w:val="24"/>
        </w:rPr>
        <w:t>Trzeba także brać od uwagę wielkoś</w:t>
      </w:r>
      <w:r w:rsidR="001D1035" w:rsidRPr="00ED0C84">
        <w:rPr>
          <w:rFonts w:ascii="Times New Roman" w:hAnsi="Times New Roman" w:cs="Times New Roman"/>
          <w:bCs/>
          <w:sz w:val="24"/>
          <w:szCs w:val="24"/>
        </w:rPr>
        <w:t>ć</w:t>
      </w:r>
      <w:r w:rsidR="00D21809" w:rsidRPr="00ED0C84">
        <w:rPr>
          <w:rFonts w:ascii="Times New Roman" w:hAnsi="Times New Roman" w:cs="Times New Roman"/>
          <w:bCs/>
          <w:sz w:val="24"/>
          <w:szCs w:val="24"/>
        </w:rPr>
        <w:t xml:space="preserve"> obszaru zajmowanego przez</w:t>
      </w:r>
      <w:r w:rsidR="00E86878">
        <w:rPr>
          <w:rFonts w:ascii="Times New Roman" w:hAnsi="Times New Roman" w:cs="Times New Roman"/>
          <w:bCs/>
          <w:sz w:val="24"/>
          <w:szCs w:val="24"/>
        </w:rPr>
        <w:t xml:space="preserve"> kombinat</w:t>
      </w:r>
      <w:r w:rsidR="00A37645" w:rsidRPr="00ED0C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17C" w:rsidRPr="00ED0C84">
        <w:rPr>
          <w:rFonts w:ascii="Times New Roman" w:hAnsi="Times New Roman" w:cs="Times New Roman"/>
          <w:bCs/>
          <w:sz w:val="24"/>
          <w:szCs w:val="24"/>
        </w:rPr>
        <w:t>i</w:t>
      </w:r>
      <w:r w:rsidR="00D21809" w:rsidRPr="00ED0C84">
        <w:rPr>
          <w:rFonts w:ascii="Times New Roman" w:hAnsi="Times New Roman" w:cs="Times New Roman"/>
          <w:bCs/>
          <w:sz w:val="24"/>
          <w:szCs w:val="24"/>
        </w:rPr>
        <w:t xml:space="preserve"> znaczne </w:t>
      </w:r>
      <w:r w:rsidR="00A37645" w:rsidRPr="00ED0C84">
        <w:rPr>
          <w:rFonts w:ascii="Times New Roman" w:hAnsi="Times New Roman" w:cs="Times New Roman"/>
          <w:bCs/>
          <w:sz w:val="24"/>
          <w:szCs w:val="24"/>
        </w:rPr>
        <w:t>odległości</w:t>
      </w:r>
      <w:r w:rsidR="00D21809" w:rsidRPr="00ED0C84">
        <w:rPr>
          <w:rFonts w:ascii="Times New Roman" w:hAnsi="Times New Roman" w:cs="Times New Roman"/>
          <w:bCs/>
          <w:sz w:val="24"/>
          <w:szCs w:val="24"/>
        </w:rPr>
        <w:t xml:space="preserve"> np. </w:t>
      </w:r>
      <w:r w:rsidR="00DE317C" w:rsidRPr="00ED0C84">
        <w:rPr>
          <w:rFonts w:ascii="Times New Roman" w:hAnsi="Times New Roman" w:cs="Times New Roman"/>
          <w:bCs/>
          <w:sz w:val="24"/>
          <w:szCs w:val="24"/>
        </w:rPr>
        <w:t xml:space="preserve">pomiędzy bramą wejściową a </w:t>
      </w:r>
      <w:r w:rsidR="00D21809" w:rsidRPr="00ED0C84">
        <w:rPr>
          <w:rFonts w:ascii="Times New Roman" w:hAnsi="Times New Roman" w:cs="Times New Roman"/>
          <w:bCs/>
          <w:sz w:val="24"/>
          <w:szCs w:val="24"/>
        </w:rPr>
        <w:t xml:space="preserve">wielkimi piecami i </w:t>
      </w:r>
      <w:r w:rsidR="001D1035" w:rsidRPr="00ED0C84">
        <w:rPr>
          <w:rFonts w:ascii="Times New Roman" w:hAnsi="Times New Roman" w:cs="Times New Roman"/>
          <w:bCs/>
          <w:sz w:val="24"/>
          <w:szCs w:val="24"/>
        </w:rPr>
        <w:t xml:space="preserve">powiązane z nimi kwestie dojazdowe i </w:t>
      </w:r>
      <w:r w:rsidR="00D21809" w:rsidRPr="00ED0C84">
        <w:rPr>
          <w:rFonts w:ascii="Times New Roman" w:hAnsi="Times New Roman" w:cs="Times New Roman"/>
          <w:bCs/>
          <w:sz w:val="24"/>
          <w:szCs w:val="24"/>
        </w:rPr>
        <w:t>transportowe</w:t>
      </w:r>
      <w:r w:rsidR="001D1035" w:rsidRPr="00ED0C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84B962" w14:textId="1E6C6962" w:rsidR="009B4916" w:rsidRPr="00ED0C84" w:rsidRDefault="009B4916" w:rsidP="00DE317C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C84">
        <w:rPr>
          <w:rFonts w:ascii="Times New Roman" w:hAnsi="Times New Roman" w:cs="Times New Roman"/>
          <w:bCs/>
          <w:sz w:val="24"/>
          <w:szCs w:val="24"/>
        </w:rPr>
        <w:t xml:space="preserve">Podejmowane do tej pory rozmowy z przedstawicielami </w:t>
      </w:r>
      <w:r w:rsidR="00D21809" w:rsidRPr="00ED0C84">
        <w:rPr>
          <w:rFonts w:ascii="Times New Roman" w:hAnsi="Times New Roman" w:cs="Times New Roman"/>
          <w:bCs/>
          <w:sz w:val="24"/>
          <w:szCs w:val="24"/>
        </w:rPr>
        <w:t xml:space="preserve">korporacji </w:t>
      </w:r>
      <w:proofErr w:type="spellStart"/>
      <w:r w:rsidRPr="00ED0C84">
        <w:rPr>
          <w:rFonts w:ascii="Times New Roman" w:hAnsi="Times New Roman" w:cs="Times New Roman"/>
          <w:bCs/>
          <w:sz w:val="24"/>
          <w:szCs w:val="24"/>
        </w:rPr>
        <w:t>ArcelorMittal</w:t>
      </w:r>
      <w:proofErr w:type="spellEnd"/>
      <w:r w:rsidRPr="00ED0C84">
        <w:rPr>
          <w:rFonts w:ascii="Times New Roman" w:hAnsi="Times New Roman" w:cs="Times New Roman"/>
          <w:bCs/>
          <w:sz w:val="24"/>
          <w:szCs w:val="24"/>
        </w:rPr>
        <w:t xml:space="preserve"> Poland</w:t>
      </w:r>
      <w:r w:rsidR="005F6C61">
        <w:rPr>
          <w:rFonts w:ascii="Times New Roman" w:hAnsi="Times New Roman" w:cs="Times New Roman"/>
          <w:bCs/>
          <w:sz w:val="24"/>
          <w:szCs w:val="24"/>
        </w:rPr>
        <w:t xml:space="preserve"> S.A.</w:t>
      </w:r>
      <w:r w:rsidR="00CB5C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5F51">
        <w:rPr>
          <w:rFonts w:ascii="Times New Roman" w:hAnsi="Times New Roman" w:cs="Times New Roman"/>
          <w:bCs/>
          <w:sz w:val="24"/>
          <w:szCs w:val="24"/>
        </w:rPr>
        <w:t>m.in.</w:t>
      </w:r>
      <w:r w:rsidR="00605F51" w:rsidRPr="00ED0C84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6753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0C84">
        <w:rPr>
          <w:rFonts w:ascii="Times New Roman" w:hAnsi="Times New Roman" w:cs="Times New Roman"/>
          <w:bCs/>
          <w:sz w:val="24"/>
          <w:szCs w:val="24"/>
        </w:rPr>
        <w:t xml:space="preserve">ramach realizacji zapisów Strategii Rozwoju Turystyki w Krakowie </w:t>
      </w:r>
      <w:r w:rsidR="005F6C61">
        <w:rPr>
          <w:rFonts w:ascii="Times New Roman" w:hAnsi="Times New Roman" w:cs="Times New Roman"/>
          <w:bCs/>
          <w:sz w:val="24"/>
          <w:szCs w:val="24"/>
        </w:rPr>
        <w:br/>
      </w:r>
      <w:r w:rsidRPr="00ED0C84">
        <w:rPr>
          <w:rFonts w:ascii="Times New Roman" w:hAnsi="Times New Roman" w:cs="Times New Roman"/>
          <w:bCs/>
          <w:sz w:val="24"/>
          <w:szCs w:val="24"/>
        </w:rPr>
        <w:t>na lata 2006</w:t>
      </w:r>
      <w:r w:rsidR="00131368">
        <w:rPr>
          <w:rFonts w:ascii="Times New Roman" w:hAnsi="Times New Roman" w:cs="Times New Roman"/>
          <w:bCs/>
          <w:sz w:val="24"/>
          <w:szCs w:val="24"/>
        </w:rPr>
        <w:t>-</w:t>
      </w:r>
      <w:r w:rsidRPr="00ED0C84">
        <w:rPr>
          <w:rFonts w:ascii="Times New Roman" w:hAnsi="Times New Roman" w:cs="Times New Roman"/>
          <w:bCs/>
          <w:sz w:val="24"/>
          <w:szCs w:val="24"/>
        </w:rPr>
        <w:t>2013</w:t>
      </w:r>
      <w:r w:rsidRPr="00BF07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0C84">
        <w:rPr>
          <w:rFonts w:ascii="Times New Roman" w:hAnsi="Times New Roman" w:cs="Times New Roman"/>
          <w:bCs/>
          <w:sz w:val="24"/>
          <w:szCs w:val="24"/>
        </w:rPr>
        <w:t xml:space="preserve">nie spotkały się z </w:t>
      </w:r>
      <w:r w:rsidR="00BF0731">
        <w:rPr>
          <w:rFonts w:ascii="Times New Roman" w:hAnsi="Times New Roman" w:cs="Times New Roman"/>
          <w:bCs/>
          <w:sz w:val="24"/>
          <w:szCs w:val="24"/>
        </w:rPr>
        <w:t xml:space="preserve">odpowiednim </w:t>
      </w:r>
      <w:r w:rsidRPr="00ED0C84">
        <w:rPr>
          <w:rFonts w:ascii="Times New Roman" w:hAnsi="Times New Roman" w:cs="Times New Roman"/>
          <w:bCs/>
          <w:sz w:val="24"/>
          <w:szCs w:val="24"/>
        </w:rPr>
        <w:t>zainteresowaniem dysponentów tej przestrzeni.</w:t>
      </w:r>
    </w:p>
    <w:p w14:paraId="6FC8B8BE" w14:textId="4443584E" w:rsidR="00D21809" w:rsidRPr="00ED0C84" w:rsidRDefault="0067537A" w:rsidP="00D21809">
      <w:pPr>
        <w:pStyle w:val="NormalnyWeb"/>
        <w:spacing w:before="40" w:beforeAutospacing="0" w:after="120" w:afterAutospacing="0" w:line="276" w:lineRule="auto"/>
        <w:ind w:firstLine="709"/>
        <w:jc w:val="both"/>
        <w:rPr>
          <w:bCs/>
        </w:rPr>
      </w:pPr>
      <w:r>
        <w:rPr>
          <w:bCs/>
        </w:rPr>
        <w:t>W</w:t>
      </w:r>
      <w:r w:rsidR="00D21809" w:rsidRPr="00ED0C84">
        <w:rPr>
          <w:bCs/>
        </w:rPr>
        <w:t xml:space="preserve">spółpracę z </w:t>
      </w:r>
      <w:proofErr w:type="spellStart"/>
      <w:r w:rsidR="00D21809" w:rsidRPr="00ED0C84">
        <w:t>ArcelorMittal</w:t>
      </w:r>
      <w:proofErr w:type="spellEnd"/>
      <w:r w:rsidR="00D21809" w:rsidRPr="00ED0C84">
        <w:t xml:space="preserve"> Poland S.A. Oddział w</w:t>
      </w:r>
      <w:r w:rsidR="00131368">
        <w:t xml:space="preserve"> </w:t>
      </w:r>
      <w:r w:rsidR="00D21809" w:rsidRPr="00ED0C84">
        <w:t xml:space="preserve">Krakowie </w:t>
      </w:r>
      <w:r w:rsidR="00D21809" w:rsidRPr="00ED0C84">
        <w:rPr>
          <w:bCs/>
        </w:rPr>
        <w:t xml:space="preserve">w zakresie </w:t>
      </w:r>
      <w:r w:rsidR="00DE3EB8" w:rsidRPr="00ED0C84">
        <w:rPr>
          <w:bCs/>
        </w:rPr>
        <w:t xml:space="preserve">okresowego </w:t>
      </w:r>
      <w:r w:rsidR="00D21809" w:rsidRPr="00ED0C84">
        <w:rPr>
          <w:bCs/>
        </w:rPr>
        <w:t xml:space="preserve">udostępniania kombinatu </w:t>
      </w:r>
      <w:r w:rsidR="00D21809" w:rsidRPr="00ED0C84">
        <w:t xml:space="preserve">podejmuje od </w:t>
      </w:r>
      <w:r w:rsidR="00DE43D0">
        <w:t xml:space="preserve">kilkunastu </w:t>
      </w:r>
      <w:r w:rsidR="00D21809" w:rsidRPr="00ED0C84">
        <w:t>lat Muzeum Nowej Huty – oddział Muzeum Krakowa. Muzeum</w:t>
      </w:r>
      <w:r w:rsidR="00DE3EB8" w:rsidRPr="00ED0C84">
        <w:t xml:space="preserve"> </w:t>
      </w:r>
      <w:r w:rsidR="00D21809" w:rsidRPr="00ED0C84">
        <w:t>prowadzi projekt pn. „Muzeum Rozproszone Nowej Huty”, którego głównym założeniem jest udostępnianie dziedzictwa kulturowego i historycznego Nowej Huty. Instytucja we współpracy z korporacją pokazuje</w:t>
      </w:r>
      <w:r w:rsidR="001D1035" w:rsidRPr="00ED0C84">
        <w:t xml:space="preserve"> </w:t>
      </w:r>
      <w:r w:rsidR="00DE43D0">
        <w:t xml:space="preserve">okazjonalnie </w:t>
      </w:r>
      <w:r w:rsidR="001D1035" w:rsidRPr="00ED0C84">
        <w:t xml:space="preserve">zwiedzającym </w:t>
      </w:r>
      <w:r w:rsidR="00D21809" w:rsidRPr="00ED0C84">
        <w:t>część terenu kombinatu hutniczego w Nowej Hucie podczas cyklicznego wydarzenia pn. „Zajrzyj do Huty”.</w:t>
      </w:r>
    </w:p>
    <w:p w14:paraId="0264508E" w14:textId="3FC093EE" w:rsidR="00A0687F" w:rsidRDefault="00A0687F" w:rsidP="009C67FC">
      <w:pPr>
        <w:pStyle w:val="NormalnyWeb"/>
        <w:spacing w:before="40" w:beforeAutospacing="0" w:after="120" w:afterAutospacing="0" w:line="276" w:lineRule="auto"/>
        <w:ind w:firstLine="709"/>
        <w:jc w:val="both"/>
        <w:rPr>
          <w:bCs/>
        </w:rPr>
      </w:pPr>
      <w:r w:rsidRPr="00ED0C84">
        <w:rPr>
          <w:bCs/>
        </w:rPr>
        <w:t xml:space="preserve">Zachowanie konstrukcji </w:t>
      </w:r>
      <w:r w:rsidR="00BF0731">
        <w:rPr>
          <w:bCs/>
        </w:rPr>
        <w:t>W</w:t>
      </w:r>
      <w:r w:rsidRPr="00ED0C84">
        <w:rPr>
          <w:bCs/>
        </w:rPr>
        <w:t xml:space="preserve">ielkiego </w:t>
      </w:r>
      <w:r w:rsidR="00BF0731">
        <w:rPr>
          <w:bCs/>
        </w:rPr>
        <w:t>P</w:t>
      </w:r>
      <w:r w:rsidRPr="00ED0C84">
        <w:rPr>
          <w:bCs/>
        </w:rPr>
        <w:t xml:space="preserve">ieca nr 5 i otaczającej </w:t>
      </w:r>
      <w:r w:rsidR="00131368" w:rsidRPr="00ED0C84">
        <w:rPr>
          <w:bCs/>
        </w:rPr>
        <w:t xml:space="preserve">go infrastruktury </w:t>
      </w:r>
      <w:r w:rsidR="00B84F61" w:rsidRPr="00ED0C84">
        <w:rPr>
          <w:bCs/>
        </w:rPr>
        <w:t xml:space="preserve">jest </w:t>
      </w:r>
      <w:r w:rsidR="00513A97" w:rsidRPr="00ED0C84">
        <w:rPr>
          <w:bCs/>
        </w:rPr>
        <w:t xml:space="preserve">sprawą </w:t>
      </w:r>
      <w:r w:rsidR="00BF0731">
        <w:rPr>
          <w:bCs/>
        </w:rPr>
        <w:t xml:space="preserve">niewątpliwie </w:t>
      </w:r>
      <w:r w:rsidR="00513A97" w:rsidRPr="00ED0C84">
        <w:rPr>
          <w:bCs/>
        </w:rPr>
        <w:t>istotną</w:t>
      </w:r>
      <w:r w:rsidR="00B84F61" w:rsidRPr="00ED0C84">
        <w:rPr>
          <w:bCs/>
        </w:rPr>
        <w:t>. W ocenie Miejski</w:t>
      </w:r>
      <w:r w:rsidR="00513A97" w:rsidRPr="00ED0C84">
        <w:rPr>
          <w:bCs/>
        </w:rPr>
        <w:t>ego K</w:t>
      </w:r>
      <w:r w:rsidR="00B84F61" w:rsidRPr="00ED0C84">
        <w:rPr>
          <w:bCs/>
        </w:rPr>
        <w:t>onserwatora Zabytków zachowane Wielkie Piece w części surowcowej dawnego kombinatu metalurgicznego mogą posiadać walory zabytków techniki</w:t>
      </w:r>
      <w:r w:rsidR="00CA6A54" w:rsidRPr="00ED0C84">
        <w:rPr>
          <w:bCs/>
        </w:rPr>
        <w:t>. W</w:t>
      </w:r>
      <w:r w:rsidR="00AF5EA2" w:rsidRPr="00ED0C84">
        <w:rPr>
          <w:bCs/>
        </w:rPr>
        <w:t>ystąp</w:t>
      </w:r>
      <w:r w:rsidR="00CA6A54" w:rsidRPr="00ED0C84">
        <w:rPr>
          <w:bCs/>
        </w:rPr>
        <w:t xml:space="preserve">iono </w:t>
      </w:r>
      <w:r w:rsidR="00B84F61" w:rsidRPr="00ED0C84">
        <w:rPr>
          <w:bCs/>
        </w:rPr>
        <w:t>już do Małopolski</w:t>
      </w:r>
      <w:r w:rsidR="001D1035" w:rsidRPr="00ED0C84">
        <w:rPr>
          <w:bCs/>
        </w:rPr>
        <w:t>ego Wojewódzkiego Konserwatora Z</w:t>
      </w:r>
      <w:r w:rsidR="00B84F61" w:rsidRPr="00ED0C84">
        <w:rPr>
          <w:bCs/>
        </w:rPr>
        <w:t>abytków o zajęcie stanowiska w sprawie zasadności ujęcia Wielkiego Pieca nr 3 w gminnej i</w:t>
      </w:r>
      <w:r w:rsidR="0067537A">
        <w:rPr>
          <w:bCs/>
        </w:rPr>
        <w:t xml:space="preserve"> </w:t>
      </w:r>
      <w:r w:rsidR="00B84F61" w:rsidRPr="00ED0C84">
        <w:rPr>
          <w:bCs/>
        </w:rPr>
        <w:t xml:space="preserve">wojewódzkiej ewidencji zabytków. </w:t>
      </w:r>
      <w:r w:rsidR="001D1035" w:rsidRPr="00ED0C84">
        <w:rPr>
          <w:bCs/>
        </w:rPr>
        <w:t xml:space="preserve">Dalsze czynności uwarunkowane będą stanowiskiem Małopolskiego Wojewódzkiego Konserwatora Zabytków. </w:t>
      </w:r>
      <w:r w:rsidR="00131368">
        <w:rPr>
          <w:bCs/>
        </w:rPr>
        <w:t>J</w:t>
      </w:r>
      <w:r w:rsidR="00B84F61" w:rsidRPr="00ED0C84">
        <w:rPr>
          <w:bCs/>
        </w:rPr>
        <w:t xml:space="preserve">edynie wpis do rejestru zabytków gwarantuje pełną ochronę konserwatorską Wielkich Pieców na terenie kombinatu. Natomiast stosownie </w:t>
      </w:r>
      <w:r w:rsidR="00131368">
        <w:rPr>
          <w:bCs/>
        </w:rPr>
        <w:br/>
      </w:r>
      <w:r w:rsidR="00B84F61" w:rsidRPr="00ED0C84">
        <w:rPr>
          <w:bCs/>
        </w:rPr>
        <w:lastRenderedPageBreak/>
        <w:t>do</w:t>
      </w:r>
      <w:r w:rsidR="0067537A">
        <w:rPr>
          <w:bCs/>
        </w:rPr>
        <w:t xml:space="preserve"> </w:t>
      </w:r>
      <w:r w:rsidR="00D35E1C" w:rsidRPr="00ED0C84">
        <w:rPr>
          <w:bCs/>
        </w:rPr>
        <w:t>zapisów</w:t>
      </w:r>
      <w:r w:rsidR="00B84F61" w:rsidRPr="00ED0C84">
        <w:rPr>
          <w:bCs/>
        </w:rPr>
        <w:t xml:space="preserve"> art. 9</w:t>
      </w:r>
      <w:r w:rsidR="00D35E1C" w:rsidRPr="00ED0C84">
        <w:rPr>
          <w:bCs/>
        </w:rPr>
        <w:t xml:space="preserve"> </w:t>
      </w:r>
      <w:r w:rsidR="00B84F61" w:rsidRPr="00ED0C84">
        <w:rPr>
          <w:bCs/>
        </w:rPr>
        <w:t>ustawy z dnia 23 lipca</w:t>
      </w:r>
      <w:r w:rsidR="00D35E1C" w:rsidRPr="00ED0C84">
        <w:rPr>
          <w:bCs/>
        </w:rPr>
        <w:t xml:space="preserve"> 2003 r.</w:t>
      </w:r>
      <w:r w:rsidR="00B84F61" w:rsidRPr="00ED0C84">
        <w:rPr>
          <w:bCs/>
        </w:rPr>
        <w:t xml:space="preserve"> </w:t>
      </w:r>
      <w:r w:rsidR="00B84F61" w:rsidRPr="0067537A">
        <w:rPr>
          <w:bCs/>
          <w:i/>
        </w:rPr>
        <w:t>o ochronie zabytków i opiece nad zabytkami</w:t>
      </w:r>
      <w:r w:rsidR="00B84F61" w:rsidRPr="00ED0C84">
        <w:rPr>
          <w:bCs/>
        </w:rPr>
        <w:t xml:space="preserve"> </w:t>
      </w:r>
      <w:r w:rsidR="0067537A" w:rsidRPr="0067537A">
        <w:rPr>
          <w:bCs/>
        </w:rPr>
        <w:t xml:space="preserve">(tekst jednolity </w:t>
      </w:r>
      <w:r w:rsidR="0067537A" w:rsidRPr="0067537A">
        <w:rPr>
          <w:rStyle w:val="ng-binding"/>
        </w:rPr>
        <w:t xml:space="preserve">Dz. U. z 2021 r. poz. 710 z </w:t>
      </w:r>
      <w:proofErr w:type="spellStart"/>
      <w:r w:rsidR="0067537A" w:rsidRPr="0067537A">
        <w:rPr>
          <w:rStyle w:val="ng-binding"/>
        </w:rPr>
        <w:t>późn</w:t>
      </w:r>
      <w:proofErr w:type="spellEnd"/>
      <w:r w:rsidR="0067537A" w:rsidRPr="0067537A">
        <w:rPr>
          <w:rStyle w:val="ng-binding"/>
        </w:rPr>
        <w:t xml:space="preserve">. zm.) </w:t>
      </w:r>
      <w:r w:rsidR="00B84F61" w:rsidRPr="0067537A">
        <w:rPr>
          <w:bCs/>
        </w:rPr>
        <w:t xml:space="preserve">zabytek </w:t>
      </w:r>
      <w:r w:rsidR="0041428E" w:rsidRPr="0067537A">
        <w:rPr>
          <w:bCs/>
        </w:rPr>
        <w:t>wpisuje</w:t>
      </w:r>
      <w:r w:rsidR="00B84F61" w:rsidRPr="0067537A">
        <w:rPr>
          <w:bCs/>
        </w:rPr>
        <w:t xml:space="preserve"> się </w:t>
      </w:r>
      <w:r w:rsidR="00A37645" w:rsidRPr="0067537A">
        <w:rPr>
          <w:bCs/>
        </w:rPr>
        <w:t xml:space="preserve">do rejestru </w:t>
      </w:r>
      <w:r w:rsidR="00131368">
        <w:rPr>
          <w:bCs/>
        </w:rPr>
        <w:br/>
      </w:r>
      <w:r w:rsidR="00B84F61" w:rsidRPr="0067537A">
        <w:rPr>
          <w:bCs/>
        </w:rPr>
        <w:t>na</w:t>
      </w:r>
      <w:r w:rsidR="0067537A">
        <w:rPr>
          <w:bCs/>
        </w:rPr>
        <w:t xml:space="preserve"> </w:t>
      </w:r>
      <w:r w:rsidR="00B84F61" w:rsidRPr="0067537A">
        <w:rPr>
          <w:bCs/>
        </w:rPr>
        <w:t>podstawie decyzji wojewódzkiego konserwatora zabytków wydanej</w:t>
      </w:r>
      <w:r w:rsidR="00B84F61" w:rsidRPr="00ED0C84">
        <w:rPr>
          <w:bCs/>
        </w:rPr>
        <w:t xml:space="preserve"> z urzędu </w:t>
      </w:r>
      <w:r w:rsidR="00A37645" w:rsidRPr="00ED0C84">
        <w:rPr>
          <w:bCs/>
        </w:rPr>
        <w:t>bądź</w:t>
      </w:r>
      <w:r w:rsidR="00B84F61" w:rsidRPr="00ED0C84">
        <w:rPr>
          <w:bCs/>
        </w:rPr>
        <w:t xml:space="preserve"> </w:t>
      </w:r>
      <w:r w:rsidR="00131368">
        <w:rPr>
          <w:bCs/>
        </w:rPr>
        <w:br/>
      </w:r>
      <w:r w:rsidR="00B84F61" w:rsidRPr="00ED0C84">
        <w:rPr>
          <w:bCs/>
        </w:rPr>
        <w:t>na</w:t>
      </w:r>
      <w:r w:rsidR="0067537A">
        <w:rPr>
          <w:bCs/>
        </w:rPr>
        <w:t xml:space="preserve"> </w:t>
      </w:r>
      <w:r w:rsidR="00B84F61" w:rsidRPr="00ED0C84">
        <w:rPr>
          <w:bCs/>
        </w:rPr>
        <w:t>wniosek właściciela zabytku lub użytkownika wieczystego gruntu, na którym znajduje się zabytek ruchomy. Wielkie Piece nie stanowią własności Gminy, a zatem Prezydent Miasta Krakowa nie posiada uprawnień do sporządzenia stosownego wniosku o wpis do rejestru.</w:t>
      </w:r>
    </w:p>
    <w:p w14:paraId="5D73110E" w14:textId="1529C26D" w:rsidR="00ED0C84" w:rsidRPr="00ED0C84" w:rsidRDefault="00ED0C84" w:rsidP="00ED0C84">
      <w:pPr>
        <w:pStyle w:val="Bezodstpw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0C84">
        <w:rPr>
          <w:rFonts w:ascii="Times New Roman" w:hAnsi="Times New Roman" w:cs="Times New Roman"/>
          <w:sz w:val="24"/>
          <w:szCs w:val="24"/>
        </w:rPr>
        <w:t xml:space="preserve">W sporządzonej wstępnej koncepcji projektu </w:t>
      </w:r>
      <w:r w:rsidR="00BF0731">
        <w:rPr>
          <w:rFonts w:ascii="Times New Roman" w:hAnsi="Times New Roman" w:cs="Times New Roman"/>
          <w:sz w:val="24"/>
          <w:szCs w:val="24"/>
        </w:rPr>
        <w:t xml:space="preserve">miejscowego </w:t>
      </w:r>
      <w:r w:rsidRPr="00ED0C84">
        <w:rPr>
          <w:rFonts w:ascii="Times New Roman" w:hAnsi="Times New Roman" w:cs="Times New Roman"/>
          <w:sz w:val="24"/>
          <w:szCs w:val="24"/>
        </w:rPr>
        <w:t>planu</w:t>
      </w:r>
      <w:r w:rsidRPr="00ED0C84">
        <w:rPr>
          <w:rFonts w:ascii="Times New Roman" w:eastAsia="Calibri" w:hAnsi="Times New Roman" w:cs="Times New Roman"/>
          <w:sz w:val="24"/>
          <w:szCs w:val="24"/>
        </w:rPr>
        <w:t xml:space="preserve"> zagospodarowania przestrzennego obszaru „Kombinat”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obejmującego teren </w:t>
      </w:r>
      <w:r w:rsidRPr="00ED0C84">
        <w:rPr>
          <w:rFonts w:ascii="Times New Roman" w:eastAsia="Calibri" w:hAnsi="Times New Roman" w:cs="Times New Roman"/>
          <w:sz w:val="24"/>
          <w:szCs w:val="24"/>
        </w:rPr>
        <w:t>kombinatu hutniczego</w:t>
      </w:r>
      <w:r w:rsidR="00FC7D3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0C84">
        <w:rPr>
          <w:rFonts w:ascii="Times New Roman" w:eastAsia="Calibri" w:hAnsi="Times New Roman" w:cs="Times New Roman"/>
          <w:sz w:val="24"/>
          <w:szCs w:val="24"/>
        </w:rPr>
        <w:t>na którym zlokalizowano Wielki Piec nr 5</w:t>
      </w:r>
      <w:r w:rsidRPr="00ED0C84">
        <w:rPr>
          <w:rFonts w:ascii="Times New Roman" w:hAnsi="Times New Roman" w:cs="Times New Roman"/>
          <w:sz w:val="24"/>
          <w:szCs w:val="24"/>
        </w:rPr>
        <w:t xml:space="preserve">, nie zostały zawarte wytyczne konserwatorskie dla </w:t>
      </w:r>
      <w:r w:rsidR="00FC7D31">
        <w:rPr>
          <w:rFonts w:ascii="Times New Roman" w:hAnsi="Times New Roman" w:cs="Times New Roman"/>
          <w:sz w:val="24"/>
          <w:szCs w:val="24"/>
        </w:rPr>
        <w:t xml:space="preserve">tego </w:t>
      </w:r>
      <w:r w:rsidRPr="00ED0C84">
        <w:rPr>
          <w:rFonts w:ascii="Times New Roman" w:hAnsi="Times New Roman" w:cs="Times New Roman"/>
          <w:sz w:val="24"/>
          <w:szCs w:val="24"/>
        </w:rPr>
        <w:t>obiektu z uwagi na brak stosownych wskazań Miejskiego Konserwatora Zabytków. Dlatego w</w:t>
      </w:r>
      <w:r w:rsidR="001269EA">
        <w:rPr>
          <w:rFonts w:ascii="Times New Roman" w:hAnsi="Times New Roman" w:cs="Times New Roman"/>
          <w:sz w:val="24"/>
          <w:szCs w:val="24"/>
        </w:rPr>
        <w:t> </w:t>
      </w:r>
      <w:r w:rsidRPr="00ED0C84">
        <w:rPr>
          <w:rFonts w:ascii="Times New Roman" w:hAnsi="Times New Roman" w:cs="Times New Roman"/>
          <w:sz w:val="24"/>
          <w:szCs w:val="24"/>
        </w:rPr>
        <w:t>przypadku wpisu obiektu Wielkiego Pieca nr 5 do gminnej ewidencji zabytków lub objęcia go ochroną konserwatorską, wytyczne organów ochrony zabytków i opieki nad zabytkami zostaną uwzględnione w kolejnych edycjach projektu planu miejscowego.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C60E7" w14:textId="6236C1EA" w:rsidR="007901A3" w:rsidRDefault="00FC7D31" w:rsidP="007901A3">
      <w:pPr>
        <w:pStyle w:val="NormalnyWeb"/>
        <w:spacing w:before="40" w:beforeAutospacing="0" w:after="120" w:afterAutospacing="0" w:line="276" w:lineRule="auto"/>
        <w:ind w:firstLine="709"/>
        <w:jc w:val="both"/>
        <w:rPr>
          <w:rFonts w:eastAsia="Calibri"/>
          <w:bCs/>
        </w:rPr>
      </w:pPr>
      <w:r>
        <w:rPr>
          <w:rFonts w:eastAsia="Calibri"/>
        </w:rPr>
        <w:t>M</w:t>
      </w:r>
      <w:r w:rsidRPr="00ED0C84">
        <w:rPr>
          <w:rFonts w:eastAsia="Calibri"/>
        </w:rPr>
        <w:t>iejscow</w:t>
      </w:r>
      <w:r>
        <w:rPr>
          <w:rFonts w:eastAsia="Calibri"/>
        </w:rPr>
        <w:t>y plan</w:t>
      </w:r>
      <w:r w:rsidRPr="00ED0C84">
        <w:rPr>
          <w:rFonts w:eastAsia="Calibri"/>
        </w:rPr>
        <w:t xml:space="preserve"> zagospodarowania przestrzennego obszaru „Kombinat”</w:t>
      </w:r>
      <w:r>
        <w:rPr>
          <w:rFonts w:eastAsia="Calibri"/>
        </w:rPr>
        <w:t xml:space="preserve"> </w:t>
      </w:r>
      <w:r w:rsidRPr="00ED0C84">
        <w:rPr>
          <w:rFonts w:eastAsia="Calibri"/>
        </w:rPr>
        <w:t xml:space="preserve">jest sporządzany na podstawie uchwały </w:t>
      </w:r>
      <w:r w:rsidR="0005638B">
        <w:rPr>
          <w:rFonts w:eastAsia="Calibri"/>
        </w:rPr>
        <w:t>n</w:t>
      </w:r>
      <w:r w:rsidRPr="00ED0C84">
        <w:rPr>
          <w:rFonts w:eastAsia="Calibri"/>
        </w:rPr>
        <w:t xml:space="preserve">r XIII/230/19 Rady Miasta Krakowa z dnia 10 kwietnia 2019 r. w sprawie przystąpienia do sporządzenia miejscowego planu zagospodarowania przestrzennego obszaru „Kombinat” oraz w oparciu o wytyczne zawarte w obowiązującym dokumencie </w:t>
      </w:r>
      <w:r w:rsidRPr="0005638B">
        <w:rPr>
          <w:rFonts w:eastAsia="Calibri"/>
          <w:i/>
        </w:rPr>
        <w:t>Studium uwarunkowań i kierunków zagospodarowania przestrzennego Miasta Krakowa</w:t>
      </w:r>
      <w:r w:rsidRPr="00ED0C84">
        <w:rPr>
          <w:rFonts w:eastAsia="Calibri"/>
        </w:rPr>
        <w:t xml:space="preserve"> (w brzmieniu ustalonym uchwałą </w:t>
      </w:r>
      <w:r w:rsidR="0005638B">
        <w:rPr>
          <w:rFonts w:eastAsia="Calibri"/>
        </w:rPr>
        <w:t>n</w:t>
      </w:r>
      <w:r w:rsidRPr="00ED0C84">
        <w:rPr>
          <w:rFonts w:eastAsia="Calibri"/>
          <w:bCs/>
        </w:rPr>
        <w:t>r CXII/1700/14 Rady Miasta Krakowa z dnia 9</w:t>
      </w:r>
      <w:r w:rsidR="001269EA">
        <w:rPr>
          <w:rFonts w:eastAsia="Calibri"/>
          <w:bCs/>
        </w:rPr>
        <w:t> </w:t>
      </w:r>
      <w:r w:rsidRPr="00ED0C84">
        <w:rPr>
          <w:rFonts w:eastAsia="Calibri"/>
          <w:bCs/>
        </w:rPr>
        <w:t>lipca 2014 r.).</w:t>
      </w:r>
    </w:p>
    <w:p w14:paraId="2B443AB2" w14:textId="0B082842" w:rsidR="00ED0C84" w:rsidRPr="00ED0C84" w:rsidRDefault="00ED0C84" w:rsidP="007901A3">
      <w:pPr>
        <w:pStyle w:val="NormalnyWeb"/>
        <w:spacing w:before="40" w:beforeAutospacing="0" w:after="120" w:afterAutospacing="0" w:line="276" w:lineRule="auto"/>
        <w:ind w:firstLine="709"/>
        <w:jc w:val="both"/>
        <w:rPr>
          <w:rFonts w:eastAsia="Calibri"/>
          <w:i/>
          <w:iCs/>
        </w:rPr>
      </w:pPr>
      <w:r w:rsidRPr="00ED0C84">
        <w:rPr>
          <w:rFonts w:eastAsia="Calibri"/>
        </w:rPr>
        <w:t>Koncepcja projektu miejscowego planu zagospodarowania przestrzennego obszaru „Kombinat”, która została przedstawiona</w:t>
      </w:r>
      <w:r w:rsidRPr="00ED0C84">
        <w:rPr>
          <w:rFonts w:eastAsia="Calibri"/>
          <w:b/>
          <w:bCs/>
        </w:rPr>
        <w:t xml:space="preserve"> </w:t>
      </w:r>
      <w:r w:rsidRPr="00ED0C84">
        <w:rPr>
          <w:rFonts w:eastAsia="Calibri"/>
        </w:rPr>
        <w:t>Komisji Planowania Przestrzennego i Ochrony Środowiska Rady Miasta Krakowa 7 czerwca 2021 r</w:t>
      </w:r>
      <w:r w:rsidR="0005638B">
        <w:rPr>
          <w:rFonts w:eastAsia="Calibri"/>
        </w:rPr>
        <w:t>.</w:t>
      </w:r>
      <w:r w:rsidRPr="00ED0C84">
        <w:rPr>
          <w:rFonts w:eastAsia="Calibri"/>
        </w:rPr>
        <w:t xml:space="preserve"> </w:t>
      </w:r>
      <w:r w:rsidRPr="007D7F1D">
        <w:rPr>
          <w:rFonts w:eastAsia="Calibri"/>
        </w:rPr>
        <w:t xml:space="preserve">i </w:t>
      </w:r>
      <w:r w:rsidR="007D7F1D" w:rsidRPr="007D7F1D">
        <w:rPr>
          <w:rFonts w:eastAsia="Calibri"/>
        </w:rPr>
        <w:t>zaopiniowana</w:t>
      </w:r>
      <w:r w:rsidRPr="007D7F1D">
        <w:rPr>
          <w:rFonts w:eastAsia="Calibri"/>
        </w:rPr>
        <w:t xml:space="preserve"> przez Komisję </w:t>
      </w:r>
      <w:r w:rsidRPr="007D7F1D">
        <w:rPr>
          <w:rFonts w:eastAsia="Calibri"/>
        </w:rPr>
        <w:br/>
        <w:t>28 czerwca 2021 r</w:t>
      </w:r>
      <w:r w:rsidR="0005638B">
        <w:rPr>
          <w:rFonts w:eastAsia="Calibri"/>
        </w:rPr>
        <w:t>.</w:t>
      </w:r>
      <w:r w:rsidRPr="007D7F1D">
        <w:rPr>
          <w:rFonts w:eastAsia="Calibri"/>
        </w:rPr>
        <w:t xml:space="preserve">, dla obszaru, na którym znajduje się Wielki Piec nr 5 wyznacza </w:t>
      </w:r>
      <w:r w:rsidRPr="007D7F1D">
        <w:rPr>
          <w:rFonts w:eastAsia="Calibri"/>
          <w:i/>
          <w:iCs/>
        </w:rPr>
        <w:t>Teren zabudowy przemysłowej, oznaczony symbolem P.4 o podstawowym przeznaczeniu pod zabudowę obiektami produkcyjnymi, składowymi i magazynowymi.</w:t>
      </w:r>
      <w:r w:rsidRPr="007D7F1D">
        <w:rPr>
          <w:rFonts w:eastAsia="Calibri"/>
        </w:rPr>
        <w:t xml:space="preserve"> Koncepcja projektu planu w obecnym kształcie </w:t>
      </w:r>
      <w:r w:rsidR="007D7F1D" w:rsidRPr="007D7F1D">
        <w:rPr>
          <w:rFonts w:eastAsia="Calibri"/>
        </w:rPr>
        <w:t xml:space="preserve">jest zgodna z </w:t>
      </w:r>
      <w:r w:rsidRPr="007D7F1D">
        <w:rPr>
          <w:rFonts w:eastAsia="Calibri"/>
        </w:rPr>
        <w:t>kierun</w:t>
      </w:r>
      <w:r w:rsidR="007D7F1D" w:rsidRPr="007D7F1D">
        <w:rPr>
          <w:rFonts w:eastAsia="Calibri"/>
        </w:rPr>
        <w:t>kiem</w:t>
      </w:r>
      <w:r w:rsidRPr="007D7F1D">
        <w:rPr>
          <w:rFonts w:eastAsia="Calibri"/>
        </w:rPr>
        <w:t xml:space="preserve"> zagospodarowania ustalony</w:t>
      </w:r>
      <w:r w:rsidR="007D7F1D">
        <w:rPr>
          <w:rFonts w:eastAsia="Calibri"/>
        </w:rPr>
        <w:t>m</w:t>
      </w:r>
      <w:r w:rsidRPr="007D7F1D">
        <w:rPr>
          <w:rFonts w:eastAsia="Calibri"/>
        </w:rPr>
        <w:t xml:space="preserve"> w </w:t>
      </w:r>
      <w:r w:rsidRPr="0005638B">
        <w:rPr>
          <w:rFonts w:eastAsia="Calibri"/>
          <w:i/>
        </w:rPr>
        <w:t>Studium uwarunkowań i</w:t>
      </w:r>
      <w:r w:rsidR="00FC7D31" w:rsidRPr="0005638B">
        <w:rPr>
          <w:rFonts w:eastAsia="Calibri"/>
          <w:i/>
        </w:rPr>
        <w:t> </w:t>
      </w:r>
      <w:r w:rsidRPr="0005638B">
        <w:rPr>
          <w:rFonts w:eastAsia="Calibri"/>
          <w:i/>
        </w:rPr>
        <w:t>kierunków zagospodarowania przestrzennego Miasta Krakowa</w:t>
      </w:r>
      <w:r w:rsidRPr="00ED0C84">
        <w:rPr>
          <w:rFonts w:eastAsia="Calibri"/>
        </w:rPr>
        <w:t xml:space="preserve">, które określiło ten obszar jako </w:t>
      </w:r>
      <w:r w:rsidRPr="00ED0C84">
        <w:rPr>
          <w:rFonts w:eastAsia="Calibri"/>
          <w:i/>
          <w:iCs/>
        </w:rPr>
        <w:t xml:space="preserve">Tereny przemysłu i usług, </w:t>
      </w:r>
      <w:r w:rsidRPr="00ED0C84">
        <w:rPr>
          <w:rFonts w:eastAsia="Calibri"/>
          <w:iCs/>
        </w:rPr>
        <w:t>o funkcji podstawowej</w:t>
      </w:r>
      <w:r w:rsidRPr="00ED0C84">
        <w:rPr>
          <w:rFonts w:eastAsia="Calibri"/>
          <w:i/>
          <w:iCs/>
        </w:rPr>
        <w:t xml:space="preserve"> – Zabudowa przemysłowo-usługowa realizowana jako obiekty budowlane przeznaczone pod następujące funkcje: produkcja, przetwórstwo, składowanie i magazynowanie, rzemiosło, usługi wraz z niezbędnymi towarzyszącymi obiektami budowlanymi (m.in. parkingi), z zielenią towarzyszącą zabudowie </w:t>
      </w:r>
      <w:r w:rsidRPr="00ED0C84">
        <w:rPr>
          <w:rFonts w:eastAsia="Calibri"/>
          <w:iCs/>
        </w:rPr>
        <w:t>oraz</w:t>
      </w:r>
      <w:r w:rsidRPr="00ED0C84">
        <w:rPr>
          <w:rFonts w:eastAsia="Calibri"/>
          <w:i/>
          <w:iCs/>
        </w:rPr>
        <w:t xml:space="preserve"> funkcji dopuszczalnej – zieleń urządzona i nieurządzona m.in. w formie parków, skwerów, zieleńców, parków rzecznych, lasów, zieleni izolacyjnej.</w:t>
      </w:r>
      <w:r w:rsidRPr="00ED0C84">
        <w:rPr>
          <w:rFonts w:eastAsia="Calibri"/>
        </w:rPr>
        <w:t xml:space="preserve"> </w:t>
      </w:r>
    </w:p>
    <w:p w14:paraId="738C7B6E" w14:textId="03F8ED8E" w:rsidR="004E10E8" w:rsidRDefault="00ED0C84" w:rsidP="004E10E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0C84">
        <w:rPr>
          <w:rFonts w:ascii="Times New Roman" w:eastAsia="Calibri" w:hAnsi="Times New Roman" w:cs="Times New Roman"/>
          <w:sz w:val="24"/>
          <w:szCs w:val="24"/>
        </w:rPr>
        <w:t xml:space="preserve">Koncepcja projektu planu aktualnie jest zmieniana w celu sporządzenia projektu planu miejscowego, który w następnym etapie postępowania planistycznego zostanie - zgodnie </w:t>
      </w:r>
      <w:r w:rsidRPr="00ED0C84">
        <w:rPr>
          <w:rFonts w:ascii="Times New Roman" w:eastAsia="Calibri" w:hAnsi="Times New Roman" w:cs="Times New Roman"/>
          <w:sz w:val="24"/>
          <w:szCs w:val="24"/>
        </w:rPr>
        <w:br/>
        <w:t xml:space="preserve">z przepisami ustawy z dnia 27 </w:t>
      </w:r>
      <w:r w:rsidRPr="00FC7D31">
        <w:rPr>
          <w:rFonts w:ascii="Times New Roman" w:eastAsia="Calibri" w:hAnsi="Times New Roman" w:cs="Times New Roman"/>
          <w:sz w:val="24"/>
          <w:szCs w:val="24"/>
        </w:rPr>
        <w:t xml:space="preserve">marca 2003 r. </w:t>
      </w:r>
      <w:r w:rsidRPr="0005638B">
        <w:rPr>
          <w:rFonts w:ascii="Times New Roman" w:eastAsia="Calibri" w:hAnsi="Times New Roman" w:cs="Times New Roman"/>
          <w:i/>
          <w:sz w:val="24"/>
          <w:szCs w:val="24"/>
        </w:rPr>
        <w:t>o</w:t>
      </w:r>
      <w:r w:rsidR="00CE6EA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5638B">
        <w:rPr>
          <w:rFonts w:ascii="Times New Roman" w:eastAsia="Calibri" w:hAnsi="Times New Roman" w:cs="Times New Roman"/>
          <w:i/>
          <w:sz w:val="24"/>
          <w:szCs w:val="24"/>
        </w:rPr>
        <w:t xml:space="preserve">planowaniu i zagospodarowaniu przestrzennym </w:t>
      </w:r>
      <w:r w:rsidRPr="00FC7D31">
        <w:rPr>
          <w:rFonts w:ascii="Times New Roman" w:eastAsia="Calibri" w:hAnsi="Times New Roman" w:cs="Times New Roman"/>
          <w:sz w:val="24"/>
          <w:szCs w:val="24"/>
        </w:rPr>
        <w:br/>
        <w:t>(t</w:t>
      </w:r>
      <w:r w:rsidR="00CE6EA6">
        <w:rPr>
          <w:rFonts w:ascii="Times New Roman" w:eastAsia="Calibri" w:hAnsi="Times New Roman" w:cs="Times New Roman"/>
          <w:sz w:val="24"/>
          <w:szCs w:val="24"/>
        </w:rPr>
        <w:t>ekst jednolity</w:t>
      </w:r>
      <w:r w:rsidRPr="00FC7D31">
        <w:rPr>
          <w:rFonts w:ascii="Times New Roman" w:eastAsia="Calibri" w:hAnsi="Times New Roman" w:cs="Times New Roman"/>
          <w:sz w:val="24"/>
          <w:szCs w:val="24"/>
        </w:rPr>
        <w:t xml:space="preserve"> Dz. U. z 2021 r. poz. 741 z </w:t>
      </w:r>
      <w:proofErr w:type="spellStart"/>
      <w:r w:rsidRPr="00FC7D3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246BEA">
        <w:rPr>
          <w:rFonts w:ascii="Times New Roman" w:eastAsia="Calibri" w:hAnsi="Times New Roman" w:cs="Times New Roman"/>
          <w:sz w:val="24"/>
          <w:szCs w:val="24"/>
        </w:rPr>
        <w:t>.</w:t>
      </w:r>
      <w:r w:rsidRPr="00FC7D31">
        <w:rPr>
          <w:rFonts w:ascii="Times New Roman" w:eastAsia="Calibri" w:hAnsi="Times New Roman" w:cs="Times New Roman"/>
          <w:sz w:val="24"/>
          <w:szCs w:val="24"/>
        </w:rPr>
        <w:t xml:space="preserve"> zm.) - przekazany organom uzgadniającym </w:t>
      </w:r>
      <w:r w:rsidR="00CE6EA6">
        <w:rPr>
          <w:rFonts w:ascii="Times New Roman" w:eastAsia="Calibri" w:hAnsi="Times New Roman" w:cs="Times New Roman"/>
          <w:sz w:val="24"/>
          <w:szCs w:val="24"/>
        </w:rPr>
        <w:br/>
      </w:r>
      <w:r w:rsidRPr="00FC7D31">
        <w:rPr>
          <w:rFonts w:ascii="Times New Roman" w:eastAsia="Calibri" w:hAnsi="Times New Roman" w:cs="Times New Roman"/>
          <w:sz w:val="24"/>
          <w:szCs w:val="24"/>
        </w:rPr>
        <w:t xml:space="preserve">i opiniującym do przedstawienia stanowiska o projekcie. </w:t>
      </w:r>
    </w:p>
    <w:p w14:paraId="6F6810B6" w14:textId="52FD1749" w:rsidR="004E10E8" w:rsidRPr="00ED0C84" w:rsidRDefault="004E10E8" w:rsidP="004E10E8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Nawiązując do kwestii zanieczyszczeń wspomnieć należy, że wszelkie</w:t>
      </w:r>
      <w:r>
        <w:rPr>
          <w:rFonts w:ascii="Times New Roman" w:hAnsi="Times New Roman" w:cs="Times New Roman"/>
          <w:bCs/>
          <w:sz w:val="24"/>
          <w:szCs w:val="24"/>
        </w:rPr>
        <w:t xml:space="preserve"> prace związane z identyfikacją zanieczyszczeń tego terenu oraz ewentualne działania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remediacyjne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wraz z ich  kosztami należą do właściciela nieruchomości.</w:t>
      </w:r>
    </w:p>
    <w:p w14:paraId="065609BC" w14:textId="31282BC1" w:rsidR="004E10E8" w:rsidRDefault="00B23326" w:rsidP="001D103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Odnosząc</w:t>
      </w:r>
      <w:r w:rsidR="00E86878">
        <w:rPr>
          <w:rFonts w:ascii="Times New Roman" w:hAnsi="Times New Roman" w:cs="Times New Roman"/>
          <w:bCs/>
          <w:sz w:val="24"/>
          <w:szCs w:val="24"/>
        </w:rPr>
        <w:t xml:space="preserve"> się do</w:t>
      </w:r>
      <w:r>
        <w:rPr>
          <w:rFonts w:ascii="Times New Roman" w:hAnsi="Times New Roman" w:cs="Times New Roman"/>
          <w:bCs/>
          <w:sz w:val="24"/>
          <w:szCs w:val="24"/>
        </w:rPr>
        <w:t xml:space="preserve"> dydaktycznej części </w:t>
      </w:r>
      <w:r w:rsidR="00E86878">
        <w:rPr>
          <w:rFonts w:ascii="Times New Roman" w:hAnsi="Times New Roman" w:cs="Times New Roman"/>
          <w:bCs/>
          <w:sz w:val="24"/>
          <w:szCs w:val="24"/>
        </w:rPr>
        <w:t xml:space="preserve">projektu rezolucji, podkreślić należy, </w:t>
      </w:r>
      <w:r w:rsidR="00CE6EA6">
        <w:rPr>
          <w:rFonts w:ascii="Times New Roman" w:hAnsi="Times New Roman" w:cs="Times New Roman"/>
          <w:bCs/>
          <w:sz w:val="24"/>
          <w:szCs w:val="24"/>
        </w:rPr>
        <w:t>że</w:t>
      </w:r>
      <w:r w:rsidR="00E86878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E7637E" w:rsidRPr="00ED0C84">
        <w:rPr>
          <w:rFonts w:ascii="Times New Roman" w:hAnsi="Times New Roman" w:cs="Times New Roman"/>
          <w:bCs/>
          <w:sz w:val="24"/>
          <w:szCs w:val="24"/>
        </w:rPr>
        <w:t>dea wykorzystywan</w:t>
      </w:r>
      <w:r w:rsidR="00EF7885" w:rsidRPr="00ED0C84">
        <w:rPr>
          <w:rFonts w:ascii="Times New Roman" w:hAnsi="Times New Roman" w:cs="Times New Roman"/>
          <w:bCs/>
          <w:sz w:val="24"/>
          <w:szCs w:val="24"/>
        </w:rPr>
        <w:t>i</w:t>
      </w:r>
      <w:r w:rsidR="00E7637E" w:rsidRPr="00ED0C84">
        <w:rPr>
          <w:rFonts w:ascii="Times New Roman" w:hAnsi="Times New Roman" w:cs="Times New Roman"/>
          <w:bCs/>
          <w:sz w:val="24"/>
          <w:szCs w:val="24"/>
        </w:rPr>
        <w:t xml:space="preserve">a dziedzictwa poprzemysłowego do utworzenia ścieżki edukacyjnej jest </w:t>
      </w:r>
      <w:r w:rsidR="00CA6A54" w:rsidRPr="00ED0C84">
        <w:rPr>
          <w:rFonts w:ascii="Times New Roman" w:hAnsi="Times New Roman" w:cs="Times New Roman"/>
          <w:bCs/>
          <w:sz w:val="24"/>
          <w:szCs w:val="24"/>
        </w:rPr>
        <w:t>słuszna</w:t>
      </w:r>
      <w:r w:rsidR="00E86878">
        <w:rPr>
          <w:rFonts w:ascii="Times New Roman" w:hAnsi="Times New Roman" w:cs="Times New Roman"/>
          <w:bCs/>
          <w:sz w:val="24"/>
          <w:szCs w:val="24"/>
        </w:rPr>
        <w:t>. J</w:t>
      </w:r>
      <w:r w:rsidR="00E7637E" w:rsidRPr="00ED0C84">
        <w:rPr>
          <w:rFonts w:ascii="Times New Roman" w:hAnsi="Times New Roman" w:cs="Times New Roman"/>
          <w:bCs/>
          <w:sz w:val="24"/>
          <w:szCs w:val="24"/>
        </w:rPr>
        <w:t>ednak w tym wypadku trzeba mieć na uwadze</w:t>
      </w:r>
      <w:r w:rsidR="00CA6A54" w:rsidRPr="00ED0C84">
        <w:rPr>
          <w:rFonts w:ascii="Times New Roman" w:hAnsi="Times New Roman" w:cs="Times New Roman"/>
          <w:bCs/>
          <w:sz w:val="24"/>
          <w:szCs w:val="24"/>
        </w:rPr>
        <w:t xml:space="preserve"> stojące na</w:t>
      </w:r>
      <w:r w:rsidR="00CE6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A54" w:rsidRPr="00ED0C84">
        <w:rPr>
          <w:rFonts w:ascii="Times New Roman" w:hAnsi="Times New Roman" w:cs="Times New Roman"/>
          <w:bCs/>
          <w:sz w:val="24"/>
          <w:szCs w:val="24"/>
        </w:rPr>
        <w:t xml:space="preserve">przeszkodzie </w:t>
      </w:r>
      <w:r w:rsidR="00E7637E" w:rsidRPr="00ED0C84">
        <w:rPr>
          <w:rFonts w:ascii="Times New Roman" w:hAnsi="Times New Roman" w:cs="Times New Roman"/>
          <w:bCs/>
          <w:sz w:val="24"/>
          <w:szCs w:val="24"/>
        </w:rPr>
        <w:t xml:space="preserve">kwestie własności nieruchomości oraz konieczność zapewnienia bezpieczeństwa potencjalnych </w:t>
      </w:r>
      <w:r>
        <w:rPr>
          <w:rFonts w:ascii="Times New Roman" w:hAnsi="Times New Roman" w:cs="Times New Roman"/>
          <w:bCs/>
          <w:sz w:val="24"/>
          <w:szCs w:val="24"/>
        </w:rPr>
        <w:t>użytkowników</w:t>
      </w:r>
      <w:r w:rsidR="00D35E1C" w:rsidRPr="00ED0C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>dlatego</w:t>
      </w:r>
      <w:r w:rsidR="00CA6A54" w:rsidRPr="00ED0C84">
        <w:rPr>
          <w:rFonts w:ascii="Times New Roman" w:hAnsi="Times New Roman" w:cs="Times New Roman"/>
          <w:bCs/>
          <w:sz w:val="24"/>
          <w:szCs w:val="24"/>
        </w:rPr>
        <w:t xml:space="preserve"> przedmiotowa 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inicjatywa pozostaje </w:t>
      </w:r>
      <w:r w:rsidR="00DE43D0">
        <w:rPr>
          <w:rFonts w:ascii="Times New Roman" w:hAnsi="Times New Roman" w:cs="Times New Roman"/>
          <w:bCs/>
          <w:sz w:val="24"/>
          <w:szCs w:val="24"/>
        </w:rPr>
        <w:t>obecnie niemożliwa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DE43D0">
        <w:rPr>
          <w:rFonts w:ascii="Times New Roman" w:hAnsi="Times New Roman" w:cs="Times New Roman"/>
          <w:bCs/>
          <w:sz w:val="24"/>
          <w:szCs w:val="24"/>
        </w:rPr>
        <w:t> </w:t>
      </w:r>
      <w:r w:rsidR="00E132E0" w:rsidRPr="00ED0C84">
        <w:rPr>
          <w:rFonts w:ascii="Times New Roman" w:hAnsi="Times New Roman" w:cs="Times New Roman"/>
          <w:bCs/>
          <w:sz w:val="24"/>
          <w:szCs w:val="24"/>
        </w:rPr>
        <w:t>zrealizowania.</w:t>
      </w:r>
      <w:r w:rsidR="00217A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749EF91" w14:textId="014F595A" w:rsidR="002813E0" w:rsidRPr="002813E0" w:rsidRDefault="002813E0" w:rsidP="002813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Mając na uwadze powyższe negatywnie opiniuję projekt rezolucji </w:t>
      </w:r>
      <w:r w:rsidRPr="002813E0">
        <w:rPr>
          <w:rFonts w:ascii="Times New Roman" w:hAnsi="Times New Roman" w:cs="Times New Roman"/>
          <w:sz w:val="24"/>
          <w:szCs w:val="24"/>
        </w:rPr>
        <w:t>Rady Miasta Krakowa</w:t>
      </w:r>
      <w:r w:rsidR="00000A52">
        <w:rPr>
          <w:rFonts w:ascii="Times New Roman" w:hAnsi="Times New Roman" w:cs="Times New Roman"/>
          <w:sz w:val="24"/>
          <w:szCs w:val="24"/>
        </w:rPr>
        <w:t xml:space="preserve"> </w:t>
      </w:r>
      <w:r w:rsidRPr="002813E0">
        <w:rPr>
          <w:rFonts w:ascii="Times New Roman" w:hAnsi="Times New Roman" w:cs="Times New Roman"/>
          <w:i/>
          <w:sz w:val="24"/>
          <w:szCs w:val="24"/>
        </w:rPr>
        <w:t xml:space="preserve">w sprawie zachowania wielkiego pieca i utworzenia ścieżki edukacyjnej </w:t>
      </w:r>
      <w:r w:rsidRPr="002813E0">
        <w:rPr>
          <w:rFonts w:ascii="Times New Roman" w:hAnsi="Times New Roman" w:cs="Times New Roman"/>
          <w:sz w:val="24"/>
          <w:szCs w:val="24"/>
        </w:rPr>
        <w:t xml:space="preserve">– druk </w:t>
      </w:r>
      <w:r>
        <w:rPr>
          <w:rFonts w:ascii="Times New Roman" w:hAnsi="Times New Roman" w:cs="Times New Roman"/>
          <w:sz w:val="24"/>
          <w:szCs w:val="24"/>
        </w:rPr>
        <w:br/>
      </w:r>
      <w:r w:rsidRPr="002813E0">
        <w:rPr>
          <w:rFonts w:ascii="Times New Roman" w:hAnsi="Times New Roman" w:cs="Times New Roman"/>
          <w:sz w:val="24"/>
          <w:szCs w:val="24"/>
        </w:rPr>
        <w:t>nr 2088-R.</w:t>
      </w:r>
    </w:p>
    <w:p w14:paraId="2DC02F44" w14:textId="071121CA" w:rsidR="00CA6A54" w:rsidRPr="002813E0" w:rsidRDefault="00CA6A54" w:rsidP="001D1035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E1FF7F" w14:textId="77777777" w:rsidR="00ED0C84" w:rsidRPr="00F46820" w:rsidRDefault="00ED0C84">
      <w:pPr>
        <w:rPr>
          <w:rFonts w:ascii="Times New Roman" w:hAnsi="Times New Roman" w:cs="Times New Roman"/>
          <w:sz w:val="24"/>
          <w:szCs w:val="24"/>
        </w:rPr>
      </w:pPr>
    </w:p>
    <w:sectPr w:rsidR="00ED0C84" w:rsidRPr="00F4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C4F54" w14:textId="77777777" w:rsidR="00142FD3" w:rsidRDefault="00142FD3" w:rsidP="00A37645">
      <w:pPr>
        <w:spacing w:after="0" w:line="240" w:lineRule="auto"/>
      </w:pPr>
      <w:r>
        <w:separator/>
      </w:r>
    </w:p>
  </w:endnote>
  <w:endnote w:type="continuationSeparator" w:id="0">
    <w:p w14:paraId="77F7F0A4" w14:textId="77777777" w:rsidR="00142FD3" w:rsidRDefault="00142FD3" w:rsidP="00A3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4F62A" w14:textId="77777777" w:rsidR="00142FD3" w:rsidRDefault="00142FD3" w:rsidP="00A37645">
      <w:pPr>
        <w:spacing w:after="0" w:line="240" w:lineRule="auto"/>
      </w:pPr>
      <w:r>
        <w:separator/>
      </w:r>
    </w:p>
  </w:footnote>
  <w:footnote w:type="continuationSeparator" w:id="0">
    <w:p w14:paraId="0F557FDE" w14:textId="77777777" w:rsidR="00142FD3" w:rsidRDefault="00142FD3" w:rsidP="00A3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20"/>
    <w:rsid w:val="00000A52"/>
    <w:rsid w:val="0005638B"/>
    <w:rsid w:val="001058FA"/>
    <w:rsid w:val="001269EA"/>
    <w:rsid w:val="00131368"/>
    <w:rsid w:val="00142FD3"/>
    <w:rsid w:val="001D1035"/>
    <w:rsid w:val="00217A95"/>
    <w:rsid w:val="00246BEA"/>
    <w:rsid w:val="002813E0"/>
    <w:rsid w:val="00302040"/>
    <w:rsid w:val="0041428E"/>
    <w:rsid w:val="004E10E8"/>
    <w:rsid w:val="00503A37"/>
    <w:rsid w:val="00513A97"/>
    <w:rsid w:val="00550EC7"/>
    <w:rsid w:val="005A462F"/>
    <w:rsid w:val="005C20F0"/>
    <w:rsid w:val="005D75ED"/>
    <w:rsid w:val="005F6C61"/>
    <w:rsid w:val="00605F51"/>
    <w:rsid w:val="00652A9E"/>
    <w:rsid w:val="0067537A"/>
    <w:rsid w:val="006A26D3"/>
    <w:rsid w:val="006E7E87"/>
    <w:rsid w:val="00720CE6"/>
    <w:rsid w:val="0074418F"/>
    <w:rsid w:val="007901A3"/>
    <w:rsid w:val="007D7F1D"/>
    <w:rsid w:val="00943687"/>
    <w:rsid w:val="00980654"/>
    <w:rsid w:val="009B4916"/>
    <w:rsid w:val="009C67FC"/>
    <w:rsid w:val="00A0687F"/>
    <w:rsid w:val="00A307AB"/>
    <w:rsid w:val="00A37645"/>
    <w:rsid w:val="00A42761"/>
    <w:rsid w:val="00AF5EA2"/>
    <w:rsid w:val="00AF5EDD"/>
    <w:rsid w:val="00AF631E"/>
    <w:rsid w:val="00B23326"/>
    <w:rsid w:val="00B84F61"/>
    <w:rsid w:val="00BF0731"/>
    <w:rsid w:val="00C27035"/>
    <w:rsid w:val="00CA6A54"/>
    <w:rsid w:val="00CB5CD9"/>
    <w:rsid w:val="00CE6EA6"/>
    <w:rsid w:val="00D21809"/>
    <w:rsid w:val="00D35E1C"/>
    <w:rsid w:val="00D67E10"/>
    <w:rsid w:val="00DE317C"/>
    <w:rsid w:val="00DE3EB8"/>
    <w:rsid w:val="00DE43D0"/>
    <w:rsid w:val="00E132E0"/>
    <w:rsid w:val="00E7637E"/>
    <w:rsid w:val="00E86878"/>
    <w:rsid w:val="00ED0C84"/>
    <w:rsid w:val="00EF7885"/>
    <w:rsid w:val="00F377F6"/>
    <w:rsid w:val="00F46820"/>
    <w:rsid w:val="00F56400"/>
    <w:rsid w:val="00FA6185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1787"/>
  <w15:chartTrackingRefBased/>
  <w15:docId w15:val="{2AE535CB-9DD3-45D8-9E69-0DEEAC38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6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6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64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B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0C84"/>
    <w:pPr>
      <w:spacing w:after="0" w:line="240" w:lineRule="auto"/>
      <w:jc w:val="both"/>
    </w:pPr>
    <w:rPr>
      <w:rFonts w:ascii="Lato" w:hAnsi="Lato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F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51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67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Trębacz Dominika</dc:creator>
  <cp:keywords/>
  <dc:description/>
  <cp:lastModifiedBy>Rej-Kowalski Zygmunt</cp:lastModifiedBy>
  <cp:revision>12</cp:revision>
  <cp:lastPrinted>2021-08-19T11:39:00Z</cp:lastPrinted>
  <dcterms:created xsi:type="dcterms:W3CDTF">2021-08-19T07:18:00Z</dcterms:created>
  <dcterms:modified xsi:type="dcterms:W3CDTF">2021-08-20T11:55:00Z</dcterms:modified>
</cp:coreProperties>
</file>