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6BA" w:rsidRPr="00D96A20" w:rsidRDefault="00105A1B" w:rsidP="007176BB">
      <w:pPr>
        <w:spacing w:before="480" w:line="199" w:lineRule="auto"/>
        <w:ind w:left="2160"/>
        <w:rPr>
          <w:rFonts w:ascii="Times New Roman" w:hAnsi="Times New Roman"/>
          <w:b/>
          <w:color w:val="000000"/>
          <w:sz w:val="31"/>
          <w:lang w:val="pl-PL"/>
        </w:rPr>
      </w:pPr>
      <w:r w:rsidRPr="00D96A20">
        <w:rPr>
          <w:rFonts w:ascii="Times New Roman" w:hAnsi="Times New Roman"/>
          <w:b/>
          <w:color w:val="000000"/>
          <w:sz w:val="31"/>
          <w:lang w:val="pl-PL"/>
        </w:rPr>
        <w:t>OPINIA NR</w:t>
      </w:r>
      <w:r w:rsidR="00E74287">
        <w:rPr>
          <w:rFonts w:ascii="Times New Roman" w:hAnsi="Times New Roman"/>
          <w:b/>
          <w:color w:val="000000"/>
          <w:sz w:val="31"/>
          <w:lang w:val="pl-PL"/>
        </w:rPr>
        <w:t xml:space="preserve"> 11/2020</w:t>
      </w:r>
    </w:p>
    <w:p w:rsidR="002D56BA" w:rsidRPr="00D96A20" w:rsidRDefault="00160098">
      <w:pPr>
        <w:spacing w:before="72"/>
        <w:ind w:left="2160" w:right="1440"/>
        <w:rPr>
          <w:rFonts w:ascii="Times New Roman" w:hAnsi="Times New Roman"/>
          <w:b/>
          <w:color w:val="000000"/>
          <w:sz w:val="31"/>
          <w:lang w:val="pl-PL"/>
        </w:rPr>
      </w:pPr>
      <w:r w:rsidRPr="00D96A20">
        <w:rPr>
          <w:rFonts w:ascii="Times New Roman" w:hAnsi="Times New Roman"/>
          <w:b/>
          <w:color w:val="000000"/>
          <w:sz w:val="31"/>
          <w:lang w:val="pl-PL"/>
        </w:rPr>
        <w:t>PREZYDENTA MIASTA KRAKOWA Z DNIA</w:t>
      </w:r>
      <w:r w:rsidR="00E74287">
        <w:rPr>
          <w:rFonts w:ascii="Times New Roman" w:hAnsi="Times New Roman"/>
          <w:b/>
          <w:color w:val="000000"/>
          <w:sz w:val="31"/>
          <w:lang w:val="pl-PL"/>
        </w:rPr>
        <w:t xml:space="preserve"> 5 lutego 2020 r.</w:t>
      </w:r>
      <w:bookmarkStart w:id="0" w:name="_GoBack"/>
      <w:bookmarkEnd w:id="0"/>
    </w:p>
    <w:p w:rsidR="00F35E40" w:rsidRPr="00D96A20" w:rsidRDefault="00F35E40" w:rsidP="007176BB">
      <w:pPr>
        <w:tabs>
          <w:tab w:val="right" w:leader="dot" w:pos="8452"/>
        </w:tabs>
        <w:spacing w:before="480"/>
        <w:jc w:val="both"/>
        <w:rPr>
          <w:rFonts w:ascii="Times New Roman" w:hAnsi="Times New Roman" w:cs="Times New Roman"/>
          <w:b/>
          <w:color w:val="000000"/>
          <w:sz w:val="24"/>
          <w:szCs w:val="24"/>
          <w:lang w:val="pl-PL"/>
        </w:rPr>
      </w:pPr>
      <w:r w:rsidRPr="00D96A20">
        <w:rPr>
          <w:rFonts w:ascii="Times New Roman" w:hAnsi="Times New Roman"/>
          <w:b/>
          <w:color w:val="000000"/>
          <w:sz w:val="24"/>
          <w:lang w:val="pl-PL"/>
        </w:rPr>
        <w:t xml:space="preserve">do projektu uchwały Rady Miasta Krakowa </w:t>
      </w:r>
      <w:r w:rsidR="00D96A20" w:rsidRPr="00D96A20">
        <w:rPr>
          <w:rFonts w:ascii="Times New Roman" w:hAnsi="Times New Roman"/>
          <w:b/>
          <w:color w:val="000000"/>
          <w:sz w:val="24"/>
          <w:lang w:val="pl-PL"/>
        </w:rPr>
        <w:t xml:space="preserve">w sprawie </w:t>
      </w:r>
      <w:r w:rsidR="00EB4ECD">
        <w:rPr>
          <w:rFonts w:ascii="Times New Roman" w:hAnsi="Times New Roman"/>
          <w:b/>
          <w:color w:val="000000"/>
          <w:sz w:val="24"/>
          <w:lang w:val="pl-PL"/>
        </w:rPr>
        <w:t>k</w:t>
      </w:r>
      <w:r w:rsidR="00EB4ECD" w:rsidRPr="00EB4ECD">
        <w:rPr>
          <w:rFonts w:ascii="Times New Roman" w:hAnsi="Times New Roman"/>
          <w:b/>
          <w:color w:val="000000"/>
          <w:sz w:val="24"/>
          <w:lang w:val="pl-PL"/>
        </w:rPr>
        <w:t>ierunk</w:t>
      </w:r>
      <w:r w:rsidR="00EB4ECD">
        <w:rPr>
          <w:rFonts w:ascii="Times New Roman" w:hAnsi="Times New Roman"/>
          <w:b/>
          <w:color w:val="000000"/>
          <w:sz w:val="24"/>
          <w:lang w:val="pl-PL"/>
        </w:rPr>
        <w:t>ów</w:t>
      </w:r>
      <w:r w:rsidR="00EB4ECD" w:rsidRPr="00EB4ECD">
        <w:rPr>
          <w:rFonts w:ascii="Times New Roman" w:hAnsi="Times New Roman"/>
          <w:b/>
          <w:color w:val="000000"/>
          <w:sz w:val="24"/>
          <w:lang w:val="pl-PL"/>
        </w:rPr>
        <w:t xml:space="preserve"> działania dla Prezydenta Miasta Krakowa dotycząc</w:t>
      </w:r>
      <w:r w:rsidR="004C5D81">
        <w:rPr>
          <w:rFonts w:ascii="Times New Roman" w:hAnsi="Times New Roman"/>
          <w:b/>
          <w:color w:val="000000"/>
          <w:sz w:val="24"/>
          <w:lang w:val="pl-PL"/>
        </w:rPr>
        <w:t>ych</w:t>
      </w:r>
      <w:r w:rsidR="00EB4ECD" w:rsidRPr="00EB4ECD">
        <w:rPr>
          <w:rFonts w:ascii="Times New Roman" w:hAnsi="Times New Roman"/>
          <w:b/>
          <w:color w:val="000000"/>
          <w:sz w:val="24"/>
          <w:lang w:val="pl-PL"/>
        </w:rPr>
        <w:t xml:space="preserve"> budowy płyty manewrowej dla służb ratowniczych i miejsc postojowych dla autokarów w Tyńcu</w:t>
      </w:r>
      <w:r w:rsidR="00CC5335" w:rsidRPr="00D96A20">
        <w:rPr>
          <w:rFonts w:ascii="Times New Roman" w:hAnsi="Times New Roman" w:cs="Times New Roman"/>
          <w:b/>
          <w:color w:val="000000"/>
          <w:sz w:val="24"/>
          <w:szCs w:val="24"/>
          <w:lang w:val="pl-PL"/>
        </w:rPr>
        <w:t xml:space="preserve">— druk nr </w:t>
      </w:r>
      <w:r w:rsidR="009D6530">
        <w:rPr>
          <w:rFonts w:ascii="Times New Roman" w:hAnsi="Times New Roman" w:cs="Times New Roman"/>
          <w:b/>
          <w:color w:val="000000"/>
          <w:sz w:val="24"/>
          <w:szCs w:val="24"/>
          <w:lang w:val="pl-PL"/>
        </w:rPr>
        <w:t>1008</w:t>
      </w:r>
      <w:r w:rsidRPr="00D96A20">
        <w:rPr>
          <w:rFonts w:ascii="Times New Roman" w:hAnsi="Times New Roman" w:cs="Times New Roman"/>
          <w:b/>
          <w:color w:val="000000"/>
          <w:sz w:val="24"/>
          <w:szCs w:val="24"/>
          <w:lang w:val="pl-PL"/>
        </w:rPr>
        <w:t>.</w:t>
      </w:r>
    </w:p>
    <w:p w:rsidR="00AB7B45" w:rsidRPr="00D96A20" w:rsidRDefault="00AB7B45" w:rsidP="00F35E40">
      <w:pPr>
        <w:tabs>
          <w:tab w:val="right" w:leader="dot" w:pos="8452"/>
        </w:tabs>
        <w:spacing w:before="360"/>
        <w:jc w:val="both"/>
        <w:rPr>
          <w:rFonts w:ascii="Times New Roman" w:hAnsi="Times New Roman"/>
          <w:color w:val="000000"/>
          <w:sz w:val="24"/>
          <w:lang w:val="pl-PL"/>
        </w:rPr>
      </w:pPr>
      <w:r w:rsidRPr="00D96A20">
        <w:rPr>
          <w:rFonts w:ascii="Times New Roman" w:hAnsi="Times New Roman"/>
          <w:color w:val="000000"/>
          <w:sz w:val="24"/>
          <w:lang w:val="pl-PL"/>
        </w:rPr>
        <w:t xml:space="preserve">Na podstawie § 30 ust. 4 pkt </w:t>
      </w:r>
      <w:r w:rsidR="00F2048F" w:rsidRPr="00D96A20">
        <w:rPr>
          <w:rFonts w:ascii="Times New Roman" w:hAnsi="Times New Roman"/>
          <w:color w:val="000000"/>
          <w:sz w:val="24"/>
          <w:lang w:val="pl-PL"/>
        </w:rPr>
        <w:t>4</w:t>
      </w:r>
      <w:r w:rsidRPr="00D96A20">
        <w:rPr>
          <w:rFonts w:ascii="Times New Roman" w:hAnsi="Times New Roman"/>
          <w:color w:val="000000"/>
          <w:sz w:val="24"/>
          <w:lang w:val="pl-PL"/>
        </w:rPr>
        <w:t xml:space="preserve"> Statutu Miasta Krakowa stanowiącego załącznik do uchwały </w:t>
      </w:r>
      <w:r w:rsidR="00F55101" w:rsidRPr="00D96A20">
        <w:rPr>
          <w:rFonts w:ascii="Times New Roman" w:hAnsi="Times New Roman"/>
          <w:color w:val="000000"/>
          <w:sz w:val="24"/>
          <w:lang w:val="pl-PL"/>
        </w:rPr>
        <w:t>Nr </w:t>
      </w:r>
      <w:r w:rsidRPr="00D96A20">
        <w:rPr>
          <w:rFonts w:ascii="Times New Roman" w:hAnsi="Times New Roman"/>
          <w:color w:val="000000"/>
          <w:sz w:val="24"/>
          <w:lang w:val="pl-PL"/>
        </w:rPr>
        <w:t>XLVIII/435/96 Rady Miasta Krakowa z dnia 24 kwietnia 1996 r. (Dz.</w:t>
      </w:r>
      <w:r w:rsidR="00C75965" w:rsidRPr="00D96A20">
        <w:rPr>
          <w:rFonts w:ascii="Times New Roman" w:hAnsi="Times New Roman"/>
          <w:color w:val="000000"/>
          <w:sz w:val="24"/>
          <w:lang w:val="pl-PL"/>
        </w:rPr>
        <w:t xml:space="preserve"> </w:t>
      </w:r>
      <w:r w:rsidRPr="00D96A20">
        <w:rPr>
          <w:rFonts w:ascii="Times New Roman" w:hAnsi="Times New Roman"/>
          <w:color w:val="000000"/>
          <w:sz w:val="24"/>
          <w:lang w:val="pl-PL"/>
        </w:rPr>
        <w:t xml:space="preserve">Urz. </w:t>
      </w:r>
      <w:r w:rsidR="00C75965" w:rsidRPr="00D96A20">
        <w:rPr>
          <w:rFonts w:ascii="Times New Roman" w:hAnsi="Times New Roman"/>
          <w:color w:val="000000"/>
          <w:sz w:val="24"/>
          <w:lang w:val="pl-PL"/>
        </w:rPr>
        <w:t>Woj.</w:t>
      </w:r>
      <w:r w:rsidRPr="00D96A20">
        <w:rPr>
          <w:rFonts w:ascii="Times New Roman" w:hAnsi="Times New Roman"/>
          <w:color w:val="000000"/>
          <w:sz w:val="24"/>
          <w:lang w:val="pl-PL"/>
        </w:rPr>
        <w:t xml:space="preserve"> </w:t>
      </w:r>
      <w:proofErr w:type="spellStart"/>
      <w:r w:rsidRPr="00D96A20">
        <w:rPr>
          <w:rFonts w:ascii="Times New Roman" w:hAnsi="Times New Roman"/>
          <w:color w:val="000000"/>
          <w:sz w:val="24"/>
          <w:lang w:val="pl-PL"/>
        </w:rPr>
        <w:t>Małop</w:t>
      </w:r>
      <w:proofErr w:type="spellEnd"/>
      <w:r w:rsidR="00C75965" w:rsidRPr="00D96A20">
        <w:rPr>
          <w:rFonts w:ascii="Times New Roman" w:hAnsi="Times New Roman"/>
          <w:color w:val="000000"/>
          <w:sz w:val="24"/>
          <w:lang w:val="pl-PL"/>
        </w:rPr>
        <w:t>.</w:t>
      </w:r>
      <w:r w:rsidRPr="00D96A20">
        <w:rPr>
          <w:rFonts w:ascii="Times New Roman" w:hAnsi="Times New Roman"/>
          <w:color w:val="000000"/>
          <w:sz w:val="24"/>
          <w:lang w:val="pl-PL"/>
        </w:rPr>
        <w:t xml:space="preserve"> </w:t>
      </w:r>
      <w:r w:rsidR="00CC5335" w:rsidRPr="00D96A20">
        <w:rPr>
          <w:rFonts w:ascii="Times New Roman" w:hAnsi="Times New Roman"/>
          <w:color w:val="000000"/>
          <w:sz w:val="24"/>
          <w:lang w:val="pl-PL"/>
        </w:rPr>
        <w:br/>
      </w:r>
      <w:r w:rsidR="00EE7EE5" w:rsidRPr="00D96A20">
        <w:rPr>
          <w:rFonts w:ascii="Times New Roman" w:hAnsi="Times New Roman"/>
          <w:color w:val="000000"/>
          <w:sz w:val="24"/>
          <w:lang w:val="pl-PL"/>
        </w:rPr>
        <w:t xml:space="preserve">z </w:t>
      </w:r>
      <w:r w:rsidR="0036312C">
        <w:rPr>
          <w:rFonts w:ascii="Times New Roman" w:hAnsi="Times New Roman"/>
          <w:color w:val="000000"/>
          <w:sz w:val="24"/>
          <w:lang w:val="pl-PL"/>
        </w:rPr>
        <w:t>2019</w:t>
      </w:r>
      <w:r w:rsidR="00EE7EE5" w:rsidRPr="00D96A20">
        <w:rPr>
          <w:rFonts w:ascii="Times New Roman" w:hAnsi="Times New Roman"/>
          <w:color w:val="000000"/>
          <w:sz w:val="24"/>
          <w:lang w:val="pl-PL"/>
        </w:rPr>
        <w:t xml:space="preserve"> r.,</w:t>
      </w:r>
      <w:r w:rsidR="00C415DC" w:rsidRPr="00D96A20">
        <w:rPr>
          <w:rFonts w:ascii="Times New Roman" w:hAnsi="Times New Roman"/>
          <w:color w:val="000000"/>
          <w:sz w:val="24"/>
          <w:lang w:val="pl-PL"/>
        </w:rPr>
        <w:t xml:space="preserve"> </w:t>
      </w:r>
      <w:r w:rsidRPr="00D96A20">
        <w:rPr>
          <w:rFonts w:ascii="Times New Roman" w:hAnsi="Times New Roman"/>
          <w:color w:val="000000"/>
          <w:sz w:val="24"/>
          <w:lang w:val="pl-PL"/>
        </w:rPr>
        <w:t xml:space="preserve">poz. </w:t>
      </w:r>
      <w:r w:rsidR="0036312C">
        <w:rPr>
          <w:rFonts w:ascii="Times New Roman" w:hAnsi="Times New Roman"/>
          <w:color w:val="000000"/>
          <w:sz w:val="24"/>
          <w:lang w:val="pl-PL"/>
        </w:rPr>
        <w:t>7074</w:t>
      </w:r>
      <w:r w:rsidRPr="00D96A20">
        <w:rPr>
          <w:rFonts w:ascii="Times New Roman" w:hAnsi="Times New Roman"/>
          <w:color w:val="000000"/>
          <w:sz w:val="24"/>
          <w:lang w:val="pl-PL"/>
        </w:rPr>
        <w:t>) postanawia się, co następuje:</w:t>
      </w:r>
    </w:p>
    <w:p w:rsidR="007176BB" w:rsidRPr="00D96A20" w:rsidRDefault="007176BB" w:rsidP="007176BB">
      <w:pPr>
        <w:tabs>
          <w:tab w:val="right" w:leader="dot" w:pos="8452"/>
        </w:tabs>
        <w:spacing w:before="480"/>
        <w:jc w:val="both"/>
        <w:rPr>
          <w:rFonts w:ascii="Times New Roman" w:hAnsi="Times New Roman" w:cs="Times New Roman"/>
          <w:color w:val="000000"/>
          <w:sz w:val="24"/>
          <w:szCs w:val="24"/>
          <w:lang w:val="pl-PL"/>
        </w:rPr>
      </w:pPr>
      <w:r w:rsidRPr="00D96A20">
        <w:rPr>
          <w:rFonts w:ascii="Times New Roman" w:hAnsi="Times New Roman"/>
          <w:sz w:val="24"/>
          <w:lang w:val="pl-PL"/>
        </w:rPr>
        <w:tab/>
        <w:t xml:space="preserve">Opiniuje się </w:t>
      </w:r>
      <w:r w:rsidR="00DC6924">
        <w:rPr>
          <w:rFonts w:ascii="Times New Roman" w:hAnsi="Times New Roman"/>
          <w:b/>
          <w:sz w:val="24"/>
          <w:lang w:val="pl-PL"/>
        </w:rPr>
        <w:t>negatywnie</w:t>
      </w:r>
      <w:r w:rsidRPr="00D96A20">
        <w:rPr>
          <w:rFonts w:ascii="Times New Roman" w:hAnsi="Times New Roman"/>
          <w:sz w:val="24"/>
          <w:lang w:val="pl-PL"/>
        </w:rPr>
        <w:t xml:space="preserve"> projekt uchwały Rady Miasta Krakowa </w:t>
      </w:r>
      <w:r w:rsidR="0036312C">
        <w:rPr>
          <w:rFonts w:ascii="Times New Roman" w:hAnsi="Times New Roman"/>
          <w:sz w:val="24"/>
          <w:lang w:val="pl-PL"/>
        </w:rPr>
        <w:t xml:space="preserve">w </w:t>
      </w:r>
      <w:r w:rsidR="00CC5335" w:rsidRPr="00D96A20">
        <w:rPr>
          <w:rFonts w:ascii="Times New Roman" w:hAnsi="Times New Roman" w:cs="Times New Roman"/>
          <w:sz w:val="24"/>
          <w:szCs w:val="24"/>
          <w:lang w:val="pl-PL"/>
        </w:rPr>
        <w:t xml:space="preserve">sprawie </w:t>
      </w:r>
      <w:r w:rsidR="00EB4ECD">
        <w:rPr>
          <w:rFonts w:ascii="Times New Roman" w:hAnsi="Times New Roman" w:cs="Times New Roman"/>
          <w:sz w:val="24"/>
          <w:szCs w:val="24"/>
          <w:lang w:val="pl-PL"/>
        </w:rPr>
        <w:t>k</w:t>
      </w:r>
      <w:r w:rsidR="00EB4ECD" w:rsidRPr="00EB4ECD">
        <w:rPr>
          <w:rFonts w:ascii="Times New Roman" w:hAnsi="Times New Roman" w:cs="Times New Roman"/>
          <w:sz w:val="24"/>
          <w:szCs w:val="24"/>
          <w:lang w:val="pl-PL"/>
        </w:rPr>
        <w:t>ierunk</w:t>
      </w:r>
      <w:r w:rsidR="00EB4ECD">
        <w:rPr>
          <w:rFonts w:ascii="Times New Roman" w:hAnsi="Times New Roman" w:cs="Times New Roman"/>
          <w:sz w:val="24"/>
          <w:szCs w:val="24"/>
          <w:lang w:val="pl-PL"/>
        </w:rPr>
        <w:t>ów</w:t>
      </w:r>
      <w:r w:rsidR="00EB4ECD" w:rsidRPr="00EB4ECD">
        <w:rPr>
          <w:rFonts w:ascii="Times New Roman" w:hAnsi="Times New Roman" w:cs="Times New Roman"/>
          <w:sz w:val="24"/>
          <w:szCs w:val="24"/>
          <w:lang w:val="pl-PL"/>
        </w:rPr>
        <w:t xml:space="preserve"> działania dla Prezydenta Miasta Krakowa dotycząc</w:t>
      </w:r>
      <w:r w:rsidR="004C5D81">
        <w:rPr>
          <w:rFonts w:ascii="Times New Roman" w:hAnsi="Times New Roman" w:cs="Times New Roman"/>
          <w:sz w:val="24"/>
          <w:szCs w:val="24"/>
          <w:lang w:val="pl-PL"/>
        </w:rPr>
        <w:t>ych</w:t>
      </w:r>
      <w:r w:rsidR="00EB4ECD" w:rsidRPr="00EB4ECD">
        <w:rPr>
          <w:rFonts w:ascii="Times New Roman" w:hAnsi="Times New Roman" w:cs="Times New Roman"/>
          <w:sz w:val="24"/>
          <w:szCs w:val="24"/>
          <w:lang w:val="pl-PL"/>
        </w:rPr>
        <w:t xml:space="preserve"> budowy płyty manewrowej dla służb ratowniczych i miejsc postojowych dla autokarów w Tyńcu</w:t>
      </w:r>
      <w:r w:rsidR="0036312C" w:rsidRPr="0036312C">
        <w:rPr>
          <w:rFonts w:ascii="Times New Roman" w:hAnsi="Times New Roman" w:cs="Times New Roman"/>
          <w:sz w:val="24"/>
          <w:szCs w:val="24"/>
          <w:lang w:val="pl-PL"/>
        </w:rPr>
        <w:t xml:space="preserve">— druk nr </w:t>
      </w:r>
      <w:r w:rsidR="009D6530">
        <w:rPr>
          <w:rFonts w:ascii="Times New Roman" w:hAnsi="Times New Roman" w:cs="Times New Roman"/>
          <w:sz w:val="24"/>
          <w:szCs w:val="24"/>
          <w:lang w:val="pl-PL"/>
        </w:rPr>
        <w:t>1008</w:t>
      </w:r>
      <w:r w:rsidRPr="00D96A20">
        <w:rPr>
          <w:rFonts w:ascii="Times New Roman" w:hAnsi="Times New Roman" w:cs="Times New Roman"/>
          <w:color w:val="000000"/>
          <w:sz w:val="24"/>
          <w:szCs w:val="24"/>
          <w:lang w:val="pl-PL"/>
        </w:rPr>
        <w:t>.</w:t>
      </w:r>
    </w:p>
    <w:p w:rsidR="002D56BA" w:rsidRPr="00D96A20" w:rsidRDefault="00160098" w:rsidP="007176BB">
      <w:pPr>
        <w:spacing w:before="480" w:after="480" w:line="211" w:lineRule="auto"/>
        <w:ind w:left="3459"/>
        <w:rPr>
          <w:rFonts w:ascii="Times New Roman" w:hAnsi="Times New Roman"/>
          <w:b/>
          <w:color w:val="000000"/>
          <w:sz w:val="24"/>
          <w:lang w:val="pl-PL"/>
        </w:rPr>
      </w:pPr>
      <w:r w:rsidRPr="00D96A20">
        <w:rPr>
          <w:rFonts w:ascii="Times New Roman" w:hAnsi="Times New Roman"/>
          <w:b/>
          <w:color w:val="000000"/>
          <w:sz w:val="24"/>
          <w:lang w:val="pl-PL"/>
        </w:rPr>
        <w:t>UZASADNIENIE</w:t>
      </w:r>
    </w:p>
    <w:p w:rsidR="00557F60" w:rsidRPr="00BC51F8" w:rsidRDefault="00557F60" w:rsidP="00557F60">
      <w:pPr>
        <w:spacing w:before="120"/>
        <w:ind w:firstLine="709"/>
        <w:jc w:val="both"/>
        <w:rPr>
          <w:rFonts w:ascii="Times New Roman" w:hAnsi="Times New Roman"/>
          <w:b/>
          <w:bCs/>
          <w:color w:val="000000"/>
          <w:sz w:val="24"/>
          <w:lang w:val="pl-PL"/>
        </w:rPr>
      </w:pPr>
      <w:r>
        <w:rPr>
          <w:rFonts w:ascii="Times New Roman" w:hAnsi="Times New Roman"/>
          <w:color w:val="000000"/>
          <w:sz w:val="24"/>
          <w:lang w:val="pl-PL"/>
        </w:rPr>
        <w:t>Prezydent Miasta Krakowa</w:t>
      </w:r>
      <w:r w:rsidRPr="00557F60">
        <w:rPr>
          <w:rFonts w:ascii="Times New Roman" w:hAnsi="Times New Roman"/>
          <w:color w:val="000000"/>
          <w:sz w:val="24"/>
          <w:lang w:val="pl-PL"/>
        </w:rPr>
        <w:t xml:space="preserve">, będąc świadomym przyjmowanej przez organ nadzoru oraz sądy administracyjne wykładni przepisów kompetencyjnych – w tym przypadku art. 18 ust. 2 pkt 2 ustawy z dnia 8 marca 1990 r. o samorządzie gminnym (tekst jedn. Dz.U z 2019, poz. 506, dalej jako </w:t>
      </w:r>
      <w:proofErr w:type="spellStart"/>
      <w:r w:rsidRPr="00557F60">
        <w:rPr>
          <w:rFonts w:ascii="Times New Roman" w:hAnsi="Times New Roman"/>
          <w:color w:val="000000"/>
          <w:sz w:val="24"/>
          <w:lang w:val="pl-PL"/>
        </w:rPr>
        <w:t>u.s.g</w:t>
      </w:r>
      <w:proofErr w:type="spellEnd"/>
      <w:r w:rsidRPr="00557F60">
        <w:rPr>
          <w:rFonts w:ascii="Times New Roman" w:hAnsi="Times New Roman"/>
          <w:color w:val="000000"/>
          <w:sz w:val="24"/>
          <w:lang w:val="pl-PL"/>
        </w:rPr>
        <w:t xml:space="preserve">.) – stoi na stanowisku, że przyjęcie uchwały w takim brzmieniu doprowadzi do wszczęcia postępowania nadzorczego przez Wojewodę Małopolskiego, które </w:t>
      </w:r>
      <w:r w:rsidRPr="00BC51F8">
        <w:rPr>
          <w:rFonts w:ascii="Times New Roman" w:hAnsi="Times New Roman"/>
          <w:b/>
          <w:bCs/>
          <w:color w:val="000000"/>
          <w:sz w:val="24"/>
          <w:lang w:val="pl-PL"/>
        </w:rPr>
        <w:t xml:space="preserve">z </w:t>
      </w:r>
      <w:r w:rsidR="004C143F">
        <w:rPr>
          <w:rFonts w:ascii="Times New Roman" w:hAnsi="Times New Roman"/>
          <w:b/>
          <w:bCs/>
          <w:color w:val="000000"/>
          <w:sz w:val="24"/>
          <w:lang w:val="pl-PL"/>
        </w:rPr>
        <w:t xml:space="preserve">dużym </w:t>
      </w:r>
      <w:r w:rsidRPr="00BC51F8">
        <w:rPr>
          <w:rFonts w:ascii="Times New Roman" w:hAnsi="Times New Roman"/>
          <w:b/>
          <w:bCs/>
          <w:color w:val="000000"/>
          <w:sz w:val="24"/>
          <w:lang w:val="pl-PL"/>
        </w:rPr>
        <w:t>prawdopodobieństwem zakończy się stwierdzeniem nieważności tego aktu prawnego.</w:t>
      </w:r>
    </w:p>
    <w:p w:rsidR="00557F60" w:rsidRPr="00557F60" w:rsidRDefault="00557F60" w:rsidP="00557F60">
      <w:pPr>
        <w:spacing w:before="120"/>
        <w:ind w:firstLine="709"/>
        <w:jc w:val="both"/>
        <w:rPr>
          <w:rFonts w:ascii="Times New Roman" w:hAnsi="Times New Roman"/>
          <w:color w:val="000000"/>
          <w:sz w:val="24"/>
          <w:lang w:val="pl-PL"/>
        </w:rPr>
      </w:pPr>
      <w:r w:rsidRPr="00557F60">
        <w:rPr>
          <w:rFonts w:ascii="Times New Roman" w:hAnsi="Times New Roman"/>
          <w:color w:val="000000"/>
          <w:sz w:val="24"/>
          <w:lang w:val="pl-PL"/>
        </w:rPr>
        <w:t xml:space="preserve">Na wstępie należy powiedzieć, że uchwała, o której mowa, ma charakter kierunkowy, tzn. określa kierunki działania </w:t>
      </w:r>
      <w:r w:rsidR="004C143F">
        <w:rPr>
          <w:rFonts w:ascii="Times New Roman" w:hAnsi="Times New Roman"/>
          <w:color w:val="000000"/>
          <w:sz w:val="24"/>
          <w:lang w:val="pl-PL"/>
        </w:rPr>
        <w:t>prezydenta</w:t>
      </w:r>
      <w:r w:rsidRPr="00557F60">
        <w:rPr>
          <w:rFonts w:ascii="Times New Roman" w:hAnsi="Times New Roman"/>
          <w:color w:val="000000"/>
          <w:sz w:val="24"/>
          <w:lang w:val="pl-PL"/>
        </w:rPr>
        <w:t xml:space="preserve"> w zakresie wykonywania określonego zadania publicznego. Uchwała rady o kierunkach działania </w:t>
      </w:r>
      <w:r w:rsidR="004C143F">
        <w:rPr>
          <w:rFonts w:ascii="Times New Roman" w:hAnsi="Times New Roman"/>
          <w:color w:val="000000"/>
          <w:sz w:val="24"/>
          <w:lang w:val="pl-PL"/>
        </w:rPr>
        <w:t>prezydenta</w:t>
      </w:r>
      <w:r w:rsidRPr="00557F60">
        <w:rPr>
          <w:rFonts w:ascii="Times New Roman" w:hAnsi="Times New Roman"/>
          <w:color w:val="000000"/>
          <w:sz w:val="24"/>
          <w:lang w:val="pl-PL"/>
        </w:rPr>
        <w:t xml:space="preserve"> nie może ograniczać samodzielności organu wykonawczego w realizacji przyznanej mu ustawowo kompetencji, w tym przez przepisy prawa materialnego, zwłaszcza poprzez formułowanie poleceń czy nakazów konkretnego sposobu załatwienia danej sprawy Uchwała taka stanowi więc jedynie pewne zalecenia i wskazówki wobec działalności organu wykonawczego gminy i nie może być traktowana jako wydanie mu polecenia przez radę, co osłabia jej moc bezwzględnie wiążącą (tak trafnie K. </w:t>
      </w:r>
      <w:proofErr w:type="spellStart"/>
      <w:r w:rsidRPr="00557F60">
        <w:rPr>
          <w:rFonts w:ascii="Times New Roman" w:hAnsi="Times New Roman"/>
          <w:color w:val="000000"/>
          <w:sz w:val="24"/>
          <w:lang w:val="pl-PL"/>
        </w:rPr>
        <w:t>Wlaźlak</w:t>
      </w:r>
      <w:proofErr w:type="spellEnd"/>
      <w:r w:rsidRPr="00557F60">
        <w:rPr>
          <w:rFonts w:ascii="Times New Roman" w:hAnsi="Times New Roman"/>
          <w:color w:val="000000"/>
          <w:sz w:val="24"/>
          <w:lang w:val="pl-PL"/>
        </w:rPr>
        <w:t xml:space="preserve"> (w:) </w:t>
      </w:r>
      <w:r w:rsidRPr="00861BF7">
        <w:rPr>
          <w:rFonts w:ascii="Times New Roman" w:hAnsi="Times New Roman"/>
          <w:i/>
          <w:iCs/>
          <w:color w:val="000000"/>
          <w:sz w:val="24"/>
          <w:lang w:val="pl-PL"/>
        </w:rPr>
        <w:t>Ustawa o samorządzie gminnym. Komentarz</w:t>
      </w:r>
      <w:r w:rsidRPr="00557F60">
        <w:rPr>
          <w:rFonts w:ascii="Times New Roman" w:hAnsi="Times New Roman"/>
          <w:color w:val="000000"/>
          <w:sz w:val="24"/>
          <w:lang w:val="pl-PL"/>
        </w:rPr>
        <w:t xml:space="preserve">, red. P. Chmielnicki, Warszawa 2013, komentarz do art. 18, teza 3, LEX/el oraz M. Augustyniak, T. Moll (w:) </w:t>
      </w:r>
      <w:r w:rsidRPr="00861BF7">
        <w:rPr>
          <w:rFonts w:ascii="Times New Roman" w:hAnsi="Times New Roman"/>
          <w:i/>
          <w:iCs/>
          <w:color w:val="000000"/>
          <w:sz w:val="24"/>
          <w:lang w:val="pl-PL"/>
        </w:rPr>
        <w:t>Ustawa o samorządzie gminnym. Komentarz</w:t>
      </w:r>
      <w:r w:rsidRPr="00557F60">
        <w:rPr>
          <w:rFonts w:ascii="Times New Roman" w:hAnsi="Times New Roman"/>
          <w:color w:val="000000"/>
          <w:sz w:val="24"/>
          <w:lang w:val="pl-PL"/>
        </w:rPr>
        <w:t xml:space="preserve">, red. B. Dolnicki, Warszawa 2018, komentarz do art. 18, teza 5, LEX/el). Dlatego wydaje się wątpliwym zawarte w § 1 ocenianej uchwały zobowiązanie Prezydenta Miasta </w:t>
      </w:r>
      <w:r w:rsidR="004C143F">
        <w:rPr>
          <w:rFonts w:ascii="Times New Roman" w:hAnsi="Times New Roman"/>
          <w:color w:val="000000"/>
          <w:sz w:val="24"/>
          <w:lang w:val="pl-PL"/>
        </w:rPr>
        <w:t xml:space="preserve">Krakowa </w:t>
      </w:r>
      <w:r w:rsidRPr="00557F60">
        <w:rPr>
          <w:rFonts w:ascii="Times New Roman" w:hAnsi="Times New Roman"/>
          <w:color w:val="000000"/>
          <w:sz w:val="24"/>
          <w:lang w:val="pl-PL"/>
        </w:rPr>
        <w:t xml:space="preserve">do podjęcia wskazanych tam konkretnych działań. Rada Miasta </w:t>
      </w:r>
      <w:r w:rsidR="004C143F">
        <w:rPr>
          <w:rFonts w:ascii="Times New Roman" w:hAnsi="Times New Roman"/>
          <w:color w:val="000000"/>
          <w:sz w:val="24"/>
          <w:lang w:val="pl-PL"/>
        </w:rPr>
        <w:t xml:space="preserve">Krakowa </w:t>
      </w:r>
      <w:r w:rsidRPr="00557F60">
        <w:rPr>
          <w:rFonts w:ascii="Times New Roman" w:hAnsi="Times New Roman"/>
          <w:color w:val="000000"/>
          <w:sz w:val="24"/>
          <w:lang w:val="pl-PL"/>
        </w:rPr>
        <w:t>w ten sposób nałożyłaby na organ wykonawczy gminy konkretny obowiązek, który miałby dać efekt w formie określonej w tym przepisie.</w:t>
      </w:r>
    </w:p>
    <w:p w:rsidR="00557F60" w:rsidRPr="00557F60" w:rsidRDefault="00F21C52" w:rsidP="00557F60">
      <w:pPr>
        <w:spacing w:before="120"/>
        <w:ind w:firstLine="709"/>
        <w:jc w:val="both"/>
        <w:rPr>
          <w:rFonts w:ascii="Times New Roman" w:hAnsi="Times New Roman"/>
          <w:color w:val="000000"/>
          <w:sz w:val="24"/>
          <w:lang w:val="pl-PL"/>
        </w:rPr>
      </w:pPr>
      <w:r>
        <w:rPr>
          <w:rFonts w:ascii="Times New Roman" w:hAnsi="Times New Roman"/>
          <w:color w:val="000000"/>
          <w:sz w:val="24"/>
          <w:lang w:val="pl-PL"/>
        </w:rPr>
        <w:t>Nadto należy zauważyć, że s</w:t>
      </w:r>
      <w:r w:rsidR="00557F60" w:rsidRPr="00557F60">
        <w:rPr>
          <w:rFonts w:ascii="Times New Roman" w:hAnsi="Times New Roman"/>
          <w:color w:val="000000"/>
          <w:sz w:val="24"/>
          <w:lang w:val="pl-PL"/>
        </w:rPr>
        <w:t>ąd</w:t>
      </w:r>
      <w:r>
        <w:rPr>
          <w:rFonts w:ascii="Times New Roman" w:hAnsi="Times New Roman"/>
          <w:color w:val="000000"/>
          <w:sz w:val="24"/>
          <w:lang w:val="pl-PL"/>
        </w:rPr>
        <w:t>ownictwo</w:t>
      </w:r>
      <w:r w:rsidR="00557F60" w:rsidRPr="00557F60">
        <w:rPr>
          <w:rFonts w:ascii="Times New Roman" w:hAnsi="Times New Roman"/>
          <w:color w:val="000000"/>
          <w:sz w:val="24"/>
          <w:lang w:val="pl-PL"/>
        </w:rPr>
        <w:t xml:space="preserve"> administracyjne sformułował</w:t>
      </w:r>
      <w:r>
        <w:rPr>
          <w:rFonts w:ascii="Times New Roman" w:hAnsi="Times New Roman"/>
          <w:color w:val="000000"/>
          <w:sz w:val="24"/>
          <w:lang w:val="pl-PL"/>
        </w:rPr>
        <w:t>o</w:t>
      </w:r>
      <w:r w:rsidR="00557F60" w:rsidRPr="00557F60">
        <w:rPr>
          <w:rFonts w:ascii="Times New Roman" w:hAnsi="Times New Roman"/>
          <w:color w:val="000000"/>
          <w:sz w:val="24"/>
          <w:lang w:val="pl-PL"/>
        </w:rPr>
        <w:t xml:space="preserve"> w tym przedmiocie dość jednolite stanowisko. </w:t>
      </w:r>
      <w:r w:rsidR="0002061E">
        <w:rPr>
          <w:rFonts w:ascii="Times New Roman" w:hAnsi="Times New Roman"/>
          <w:color w:val="000000"/>
          <w:sz w:val="24"/>
          <w:lang w:val="pl-PL"/>
        </w:rPr>
        <w:t>Wskazuje się w nim</w:t>
      </w:r>
      <w:r w:rsidR="00557F60" w:rsidRPr="00557F60">
        <w:rPr>
          <w:rFonts w:ascii="Times New Roman" w:hAnsi="Times New Roman"/>
          <w:color w:val="000000"/>
          <w:sz w:val="24"/>
          <w:lang w:val="pl-PL"/>
        </w:rPr>
        <w:t xml:space="preserve">, że „przepis art. 18 ust. 2 pkt 2 </w:t>
      </w:r>
      <w:proofErr w:type="spellStart"/>
      <w:r w:rsidR="00557F60" w:rsidRPr="00557F60">
        <w:rPr>
          <w:rFonts w:ascii="Times New Roman" w:hAnsi="Times New Roman"/>
          <w:color w:val="000000"/>
          <w:sz w:val="24"/>
          <w:lang w:val="pl-PL"/>
        </w:rPr>
        <w:t>u.s.g</w:t>
      </w:r>
      <w:proofErr w:type="spellEnd"/>
      <w:r w:rsidR="00557F60" w:rsidRPr="00557F60">
        <w:rPr>
          <w:rFonts w:ascii="Times New Roman" w:hAnsi="Times New Roman"/>
          <w:color w:val="000000"/>
          <w:sz w:val="24"/>
          <w:lang w:val="pl-PL"/>
        </w:rPr>
        <w:t xml:space="preserve">. upoważnia radę gminy do stanowienia o kierunkach działania wójta, a nie do określania form działania. Przepis ten zezwala radzie gminy jedynie na »stanowienie o kierunkach </w:t>
      </w:r>
      <w:r w:rsidR="00557F60" w:rsidRPr="00557F60">
        <w:rPr>
          <w:rFonts w:ascii="Times New Roman" w:hAnsi="Times New Roman"/>
          <w:color w:val="000000"/>
          <w:sz w:val="24"/>
          <w:lang w:val="pl-PL"/>
        </w:rPr>
        <w:lastRenderedPageBreak/>
        <w:t xml:space="preserve">działania wójta«, a więc stanowi upoważnienie do wydawania aktów kierunkowych, wskazujących jedynie cele, priorytety działania wójta, ale nie przesądzających w jaki sposób i w jakich formach ma to działanie być przez wójta podejmowane. Stanowione na podstawie tego upoważnienia uchwały mogą mieć zatem jedynie charakter wewnętrzny, zawierając wytyczne lub zalecenia dla organu wykonawczego. Mogą one określać ogólnie strategię działania wójta, wskazywać hierarchię priorytetów w zakresie realizacji celów i zadań mieszczących się w zadaniach gminy, ale nie mogą wkraczać wprost w zakres działania poszczególnych organów gminy. Podejmowane przez radę gminy na podstawie art. 18 ust. 2 pkt 2 </w:t>
      </w:r>
      <w:proofErr w:type="spellStart"/>
      <w:r w:rsidR="00557F60" w:rsidRPr="00557F60">
        <w:rPr>
          <w:rFonts w:ascii="Times New Roman" w:hAnsi="Times New Roman"/>
          <w:color w:val="000000"/>
          <w:sz w:val="24"/>
          <w:lang w:val="pl-PL"/>
        </w:rPr>
        <w:t>u.s.g</w:t>
      </w:r>
      <w:proofErr w:type="spellEnd"/>
      <w:r w:rsidR="00557F60" w:rsidRPr="00557F60">
        <w:rPr>
          <w:rFonts w:ascii="Times New Roman" w:hAnsi="Times New Roman"/>
          <w:color w:val="000000"/>
          <w:sz w:val="24"/>
          <w:lang w:val="pl-PL"/>
        </w:rPr>
        <w:t>. uchwały nie mogą więc wkraczać w zakres kompetencji należnych ustawowo wójtowi z mocy ustawy, naruszałoby to bowiem ustawowy podział kompetencji pomiędzy organami gminy” (zob. wyrok Naczelnego Sądu Administracyjnego z dnia 19 września 2017 r., II GSK 3514/17, LEX 2404511).</w:t>
      </w:r>
    </w:p>
    <w:p w:rsidR="00557F60" w:rsidRPr="00557F60" w:rsidRDefault="00557F60" w:rsidP="00557F60">
      <w:pPr>
        <w:spacing w:before="120"/>
        <w:ind w:firstLine="709"/>
        <w:jc w:val="both"/>
        <w:rPr>
          <w:rFonts w:ascii="Times New Roman" w:hAnsi="Times New Roman"/>
          <w:color w:val="000000"/>
          <w:sz w:val="24"/>
          <w:lang w:val="pl-PL"/>
        </w:rPr>
      </w:pPr>
      <w:r w:rsidRPr="00557F60">
        <w:rPr>
          <w:rFonts w:ascii="Times New Roman" w:hAnsi="Times New Roman"/>
          <w:color w:val="000000"/>
          <w:sz w:val="24"/>
          <w:lang w:val="pl-PL"/>
        </w:rPr>
        <w:t>Taka konstrukcja</w:t>
      </w:r>
      <w:r w:rsidR="00C37D05">
        <w:rPr>
          <w:rFonts w:ascii="Times New Roman" w:hAnsi="Times New Roman"/>
          <w:color w:val="000000"/>
          <w:sz w:val="24"/>
          <w:lang w:val="pl-PL"/>
        </w:rPr>
        <w:t xml:space="preserve"> projektu uchwały Rady Miasta Krakowa</w:t>
      </w:r>
      <w:r w:rsidRPr="00557F60">
        <w:rPr>
          <w:rFonts w:ascii="Times New Roman" w:hAnsi="Times New Roman"/>
          <w:color w:val="000000"/>
          <w:sz w:val="24"/>
          <w:lang w:val="pl-PL"/>
        </w:rPr>
        <w:t xml:space="preserve"> stwarza prawdopodobieństwo, iż Wojewoda Małopolski, korzystając ze swych uprawnień nadzorczych, stwierdzi nieważność uchwały podjętej w takim kształcie. Wskazanie bowiem konieczności podjęcia konkretnie wskazanych w tekście tego aktu prawnego działań może stanowić naruszenie przepisów prawa administracyjnego ustrojowego i normy kompetencyjnej ustanowionej w art. 18 ust. 2 pkt 2 </w:t>
      </w:r>
      <w:proofErr w:type="spellStart"/>
      <w:r w:rsidRPr="00557F60">
        <w:rPr>
          <w:rFonts w:ascii="Times New Roman" w:hAnsi="Times New Roman"/>
          <w:color w:val="000000"/>
          <w:sz w:val="24"/>
          <w:lang w:val="pl-PL"/>
        </w:rPr>
        <w:t>u.s.g</w:t>
      </w:r>
      <w:proofErr w:type="spellEnd"/>
      <w:r w:rsidRPr="00557F60">
        <w:rPr>
          <w:rFonts w:ascii="Times New Roman" w:hAnsi="Times New Roman"/>
          <w:color w:val="000000"/>
          <w:sz w:val="24"/>
          <w:lang w:val="pl-PL"/>
        </w:rPr>
        <w:t>.</w:t>
      </w:r>
    </w:p>
    <w:p w:rsidR="00557F60" w:rsidRPr="00557F60" w:rsidRDefault="0049361E" w:rsidP="00557F60">
      <w:pPr>
        <w:spacing w:before="120"/>
        <w:ind w:firstLine="709"/>
        <w:jc w:val="both"/>
        <w:rPr>
          <w:rFonts w:ascii="Times New Roman" w:hAnsi="Times New Roman"/>
          <w:color w:val="000000"/>
          <w:sz w:val="24"/>
          <w:lang w:val="pl-PL"/>
        </w:rPr>
      </w:pPr>
      <w:r>
        <w:rPr>
          <w:rFonts w:ascii="Times New Roman" w:hAnsi="Times New Roman"/>
          <w:color w:val="000000"/>
          <w:sz w:val="24"/>
          <w:lang w:val="pl-PL"/>
        </w:rPr>
        <w:t>Wskazać winno się przy tym, że j</w:t>
      </w:r>
      <w:r w:rsidR="00557F60" w:rsidRPr="00557F60">
        <w:rPr>
          <w:rFonts w:ascii="Times New Roman" w:hAnsi="Times New Roman"/>
          <w:color w:val="000000"/>
          <w:sz w:val="24"/>
          <w:lang w:val="pl-PL"/>
        </w:rPr>
        <w:t xml:space="preserve">eżeli uchwała kierunkowa ma być jedynie niewiążącą opinią radnych, wyrazem ich woli, to należy zastanowić się nad relacją takiego poglądu z art. 28aa ust. 2 </w:t>
      </w:r>
      <w:proofErr w:type="spellStart"/>
      <w:r w:rsidR="00557F60" w:rsidRPr="00557F60">
        <w:rPr>
          <w:rFonts w:ascii="Times New Roman" w:hAnsi="Times New Roman"/>
          <w:color w:val="000000"/>
          <w:sz w:val="24"/>
          <w:lang w:val="pl-PL"/>
        </w:rPr>
        <w:t>u.s.g</w:t>
      </w:r>
      <w:proofErr w:type="spellEnd"/>
      <w:r w:rsidR="00557F60" w:rsidRPr="00557F60">
        <w:rPr>
          <w:rFonts w:ascii="Times New Roman" w:hAnsi="Times New Roman"/>
          <w:color w:val="000000"/>
          <w:sz w:val="24"/>
          <w:lang w:val="pl-PL"/>
        </w:rPr>
        <w:t>., gdzie w sposób wyraźny wskazuje się, że składany przez wójta raport o stanie gminy ma obejmować też informację na temat realizacji uchwał rady. Brak jakiegokolwiek zawężenia przedmiotowego powoduje, że chodzi tu o wszystkie uchwały, a więc też kierunkowe</w:t>
      </w:r>
      <w:r w:rsidR="00FE5CD2">
        <w:rPr>
          <w:rFonts w:ascii="Times New Roman" w:hAnsi="Times New Roman"/>
          <w:color w:val="000000"/>
          <w:sz w:val="24"/>
          <w:lang w:val="pl-PL"/>
        </w:rPr>
        <w:t>.</w:t>
      </w:r>
      <w:r w:rsidR="00557F60" w:rsidRPr="00557F60">
        <w:rPr>
          <w:rFonts w:ascii="Times New Roman" w:hAnsi="Times New Roman"/>
          <w:color w:val="000000"/>
          <w:sz w:val="24"/>
          <w:lang w:val="pl-PL"/>
        </w:rPr>
        <w:t xml:space="preserve"> </w:t>
      </w:r>
      <w:r w:rsidR="00FE5CD2">
        <w:rPr>
          <w:rFonts w:ascii="Times New Roman" w:hAnsi="Times New Roman"/>
          <w:color w:val="000000"/>
          <w:sz w:val="24"/>
          <w:lang w:val="pl-PL"/>
        </w:rPr>
        <w:t>W związku z tym mogą powstać wątpliwości,</w:t>
      </w:r>
      <w:r w:rsidR="00557F60" w:rsidRPr="00557F60">
        <w:rPr>
          <w:rFonts w:ascii="Times New Roman" w:hAnsi="Times New Roman"/>
          <w:color w:val="000000"/>
          <w:sz w:val="24"/>
          <w:lang w:val="pl-PL"/>
        </w:rPr>
        <w:t xml:space="preserve"> czy, w sytuacji ich nierealizowania, będzie możliwe nieudzielenie organowi wykonawczemu wotum zaufania, co może skutkować w skrajnym przypadku także podjęciem uchwały o przeprowadzeniu referendum w sprawie jego odwołania</w:t>
      </w:r>
      <w:r w:rsidR="00C55EC5">
        <w:rPr>
          <w:rFonts w:ascii="Times New Roman" w:hAnsi="Times New Roman"/>
          <w:color w:val="000000"/>
          <w:sz w:val="24"/>
          <w:lang w:val="pl-PL"/>
        </w:rPr>
        <w:t>.</w:t>
      </w:r>
      <w:r w:rsidR="00557F60" w:rsidRPr="00557F60">
        <w:rPr>
          <w:rFonts w:ascii="Times New Roman" w:hAnsi="Times New Roman"/>
          <w:color w:val="000000"/>
          <w:sz w:val="24"/>
          <w:lang w:val="pl-PL"/>
        </w:rPr>
        <w:t xml:space="preserve"> Właściwszą forma byłoby w tym przypadku, </w:t>
      </w:r>
      <w:r w:rsidR="00A954E5">
        <w:rPr>
          <w:rFonts w:ascii="Times New Roman" w:hAnsi="Times New Roman"/>
          <w:color w:val="000000"/>
          <w:sz w:val="24"/>
          <w:lang w:val="pl-PL"/>
        </w:rPr>
        <w:t>zgodnie</w:t>
      </w:r>
      <w:r w:rsidR="00557F60" w:rsidRPr="00557F60">
        <w:rPr>
          <w:rFonts w:ascii="Times New Roman" w:hAnsi="Times New Roman"/>
          <w:color w:val="000000"/>
          <w:sz w:val="24"/>
          <w:lang w:val="pl-PL"/>
        </w:rPr>
        <w:t xml:space="preserve"> z § 28 ust. 1 Statutu Miasta Krakowa, posłużenie się formą rezolucji.</w:t>
      </w:r>
    </w:p>
    <w:p w:rsidR="00557F60" w:rsidRPr="00557F60" w:rsidRDefault="00557F60" w:rsidP="00557F60">
      <w:pPr>
        <w:spacing w:before="120"/>
        <w:ind w:firstLine="709"/>
        <w:jc w:val="both"/>
        <w:rPr>
          <w:rFonts w:ascii="Times New Roman" w:hAnsi="Times New Roman"/>
          <w:color w:val="000000"/>
          <w:sz w:val="24"/>
          <w:lang w:val="pl-PL"/>
        </w:rPr>
      </w:pPr>
      <w:r w:rsidRPr="00557F60">
        <w:rPr>
          <w:rFonts w:ascii="Times New Roman" w:hAnsi="Times New Roman"/>
          <w:color w:val="000000"/>
          <w:sz w:val="24"/>
          <w:lang w:val="pl-PL"/>
        </w:rPr>
        <w:t xml:space="preserve">Zastrzeżenia budzi także konstrukcja językowa </w:t>
      </w:r>
      <w:r w:rsidR="002F0E9B">
        <w:rPr>
          <w:rFonts w:ascii="Times New Roman" w:hAnsi="Times New Roman"/>
          <w:color w:val="000000"/>
          <w:sz w:val="24"/>
          <w:lang w:val="pl-PL"/>
        </w:rPr>
        <w:t>postanowień projektu</w:t>
      </w:r>
      <w:r w:rsidRPr="00557F60">
        <w:rPr>
          <w:rFonts w:ascii="Times New Roman" w:hAnsi="Times New Roman"/>
          <w:color w:val="000000"/>
          <w:sz w:val="24"/>
          <w:lang w:val="pl-PL"/>
        </w:rPr>
        <w:t xml:space="preserve"> uchwały, albowiem należy z niej odczytywać zobowiązywanie Prezydenta Miasta Krakowa do określonych działań. Organ nadzoru może </w:t>
      </w:r>
      <w:r w:rsidR="00F632B4">
        <w:rPr>
          <w:rFonts w:ascii="Times New Roman" w:hAnsi="Times New Roman"/>
          <w:color w:val="000000"/>
          <w:sz w:val="24"/>
          <w:lang w:val="pl-PL"/>
        </w:rPr>
        <w:t>powziąć</w:t>
      </w:r>
      <w:r w:rsidRPr="00557F60">
        <w:rPr>
          <w:rFonts w:ascii="Times New Roman" w:hAnsi="Times New Roman"/>
          <w:color w:val="000000"/>
          <w:sz w:val="24"/>
          <w:lang w:val="pl-PL"/>
        </w:rPr>
        <w:t xml:space="preserve"> wątpliwości odnośnie językowego sformułowania § 1 uchwały, gdzie </w:t>
      </w:r>
      <w:r w:rsidR="00F75CE1">
        <w:rPr>
          <w:rFonts w:ascii="Times New Roman" w:hAnsi="Times New Roman"/>
          <w:color w:val="000000"/>
          <w:sz w:val="24"/>
          <w:lang w:val="pl-PL"/>
        </w:rPr>
        <w:t>określa się</w:t>
      </w:r>
      <w:r w:rsidRPr="00557F60">
        <w:rPr>
          <w:rFonts w:ascii="Times New Roman" w:hAnsi="Times New Roman"/>
          <w:color w:val="000000"/>
          <w:sz w:val="24"/>
          <w:lang w:val="pl-PL"/>
        </w:rPr>
        <w:t xml:space="preserve"> (w brzmieniu niejako władczym), że Prezydent ma </w:t>
      </w:r>
      <w:r w:rsidR="00F75CE1">
        <w:rPr>
          <w:rFonts w:ascii="Times New Roman" w:hAnsi="Times New Roman"/>
          <w:color w:val="000000"/>
          <w:sz w:val="24"/>
          <w:lang w:val="pl-PL"/>
        </w:rPr>
        <w:t>podjąć starania mające na celu stworzenie płyty manewrowej wraz z miejscem postoju</w:t>
      </w:r>
      <w:r w:rsidRPr="00557F60">
        <w:rPr>
          <w:rFonts w:ascii="Times New Roman" w:hAnsi="Times New Roman"/>
          <w:color w:val="000000"/>
          <w:sz w:val="24"/>
          <w:lang w:val="pl-PL"/>
        </w:rPr>
        <w:t>. Wielokrotnie bowiem organ nadzoru unieważniał uchwały kierunkowe właśnie na podstawie ich niewłaściwego językowego sformułowania (zob. np. Rozstrzygnięcie Nadzorcze nr WN-II.4131.1.38.2019 Wojewody Małopolskiego z dnia 4 października 2019 r. w sprawie stwierdzenia nieważności uchwały Nr XXIII/502/19 Rady Miasta Krakowa z dnia 28 września 2019 r. w sprawie ustalenia kierunków działania dla Prezydenta Miasta Krakowa dotyczących prowadzenia działalności informacyjnej i edukacyjnej w zakresie profilaktyki ciąż wśród nastolatek, chorób przenoszonych drogą płciową, w tym profilaktyki HIV - w całości).</w:t>
      </w:r>
    </w:p>
    <w:p w:rsidR="00DC0DB4" w:rsidRPr="00B50635" w:rsidRDefault="00557F60" w:rsidP="009035F6">
      <w:pPr>
        <w:spacing w:before="120"/>
        <w:ind w:firstLine="709"/>
        <w:jc w:val="both"/>
        <w:rPr>
          <w:rFonts w:ascii="Times New Roman" w:hAnsi="Times New Roman"/>
          <w:color w:val="000000"/>
          <w:sz w:val="24"/>
          <w:lang w:val="pl-PL"/>
        </w:rPr>
      </w:pPr>
      <w:r w:rsidRPr="00557F60">
        <w:rPr>
          <w:rFonts w:ascii="Times New Roman" w:hAnsi="Times New Roman"/>
          <w:color w:val="000000"/>
          <w:sz w:val="24"/>
          <w:lang w:val="pl-PL"/>
        </w:rPr>
        <w:t xml:space="preserve">Dodatkowo, odnosząc się do merytorycznej treści uchwały, </w:t>
      </w:r>
      <w:r w:rsidR="006559C7">
        <w:rPr>
          <w:rFonts w:ascii="Times New Roman" w:hAnsi="Times New Roman"/>
          <w:color w:val="000000"/>
          <w:sz w:val="24"/>
          <w:lang w:val="pl-PL"/>
        </w:rPr>
        <w:t xml:space="preserve">winno się </w:t>
      </w:r>
      <w:r w:rsidR="0019174A">
        <w:rPr>
          <w:rFonts w:ascii="Times New Roman" w:hAnsi="Times New Roman"/>
          <w:color w:val="000000"/>
          <w:sz w:val="24"/>
          <w:lang w:val="pl-PL"/>
        </w:rPr>
        <w:t>podkreślić</w:t>
      </w:r>
      <w:r w:rsidR="009035F6">
        <w:rPr>
          <w:rFonts w:ascii="Times New Roman" w:hAnsi="Times New Roman"/>
          <w:color w:val="000000"/>
          <w:sz w:val="24"/>
          <w:lang w:val="pl-PL"/>
        </w:rPr>
        <w:t xml:space="preserve">, że </w:t>
      </w:r>
      <w:r w:rsidR="009035F6" w:rsidRPr="009035F6">
        <w:rPr>
          <w:rFonts w:ascii="Times New Roman" w:hAnsi="Times New Roman"/>
          <w:color w:val="000000"/>
          <w:sz w:val="24"/>
          <w:lang w:val="pl-PL"/>
        </w:rPr>
        <w:t xml:space="preserve">w ramach wnioskowanego zadania do </w:t>
      </w:r>
      <w:r w:rsidR="009035F6">
        <w:rPr>
          <w:rFonts w:ascii="Times New Roman" w:hAnsi="Times New Roman"/>
          <w:color w:val="000000"/>
          <w:sz w:val="24"/>
          <w:lang w:val="pl-PL"/>
        </w:rPr>
        <w:t>Budżetu Miasta Krakowa</w:t>
      </w:r>
      <w:r w:rsidR="009035F6" w:rsidRPr="009035F6">
        <w:rPr>
          <w:rFonts w:ascii="Times New Roman" w:hAnsi="Times New Roman"/>
          <w:color w:val="000000"/>
          <w:sz w:val="24"/>
          <w:lang w:val="pl-PL"/>
        </w:rPr>
        <w:t xml:space="preserve"> na 2020</w:t>
      </w:r>
      <w:r w:rsidR="009035F6">
        <w:rPr>
          <w:rFonts w:ascii="Times New Roman" w:hAnsi="Times New Roman"/>
          <w:color w:val="000000"/>
          <w:sz w:val="24"/>
          <w:lang w:val="pl-PL"/>
        </w:rPr>
        <w:t xml:space="preserve"> </w:t>
      </w:r>
      <w:r w:rsidR="009035F6" w:rsidRPr="009035F6">
        <w:rPr>
          <w:rFonts w:ascii="Times New Roman" w:hAnsi="Times New Roman"/>
          <w:color w:val="000000"/>
          <w:sz w:val="24"/>
          <w:lang w:val="pl-PL"/>
        </w:rPr>
        <w:t xml:space="preserve">r. oraz WPF-WPI na lata kolejne pn.: </w:t>
      </w:r>
      <w:r w:rsidR="009035F6">
        <w:rPr>
          <w:rFonts w:ascii="Times New Roman" w:hAnsi="Times New Roman"/>
          <w:color w:val="000000"/>
          <w:sz w:val="24"/>
          <w:lang w:val="pl-PL"/>
        </w:rPr>
        <w:t>„</w:t>
      </w:r>
      <w:r w:rsidR="009035F6" w:rsidRPr="009035F6">
        <w:rPr>
          <w:rFonts w:ascii="Times New Roman" w:hAnsi="Times New Roman"/>
          <w:color w:val="000000"/>
          <w:sz w:val="24"/>
          <w:lang w:val="pl-PL"/>
        </w:rPr>
        <w:t>Budowa obwodnicy osiedla Tyniec zgodnie z</w:t>
      </w:r>
      <w:r w:rsidR="009035F6">
        <w:rPr>
          <w:rFonts w:ascii="Times New Roman" w:hAnsi="Times New Roman"/>
          <w:color w:val="000000"/>
          <w:sz w:val="24"/>
          <w:lang w:val="pl-PL"/>
        </w:rPr>
        <w:t xml:space="preserve"> planem miejscowym </w:t>
      </w:r>
      <w:r w:rsidR="009035F6" w:rsidRPr="009035F6">
        <w:rPr>
          <w:rFonts w:ascii="Times New Roman" w:hAnsi="Times New Roman"/>
          <w:color w:val="000000"/>
          <w:sz w:val="24"/>
          <w:lang w:val="pl-PL"/>
        </w:rPr>
        <w:t>Tyniec Osiedle</w:t>
      </w:r>
      <w:r w:rsidR="009035F6">
        <w:rPr>
          <w:rFonts w:ascii="Times New Roman" w:hAnsi="Times New Roman"/>
          <w:color w:val="000000"/>
          <w:sz w:val="24"/>
          <w:lang w:val="pl-PL"/>
        </w:rPr>
        <w:t>”</w:t>
      </w:r>
      <w:r w:rsidR="009035F6" w:rsidRPr="009035F6">
        <w:rPr>
          <w:rFonts w:ascii="Times New Roman" w:hAnsi="Times New Roman"/>
          <w:color w:val="000000"/>
          <w:sz w:val="24"/>
          <w:lang w:val="pl-PL"/>
        </w:rPr>
        <w:t xml:space="preserve"> uwzględniono budowę parkingu nad rzek</w:t>
      </w:r>
      <w:r w:rsidR="009035F6">
        <w:rPr>
          <w:rFonts w:ascii="Times New Roman" w:hAnsi="Times New Roman"/>
          <w:color w:val="000000"/>
          <w:sz w:val="24"/>
          <w:lang w:val="pl-PL"/>
        </w:rPr>
        <w:t>ą</w:t>
      </w:r>
      <w:r w:rsidR="009035F6" w:rsidRPr="009035F6">
        <w:rPr>
          <w:rFonts w:ascii="Times New Roman" w:hAnsi="Times New Roman"/>
          <w:color w:val="000000"/>
          <w:sz w:val="24"/>
          <w:lang w:val="pl-PL"/>
        </w:rPr>
        <w:t xml:space="preserve"> Wisłą na końcu ul. Benedyktyńskiej. </w:t>
      </w:r>
      <w:r w:rsidR="009035F6" w:rsidRPr="00A3657B">
        <w:rPr>
          <w:rFonts w:ascii="Times New Roman" w:hAnsi="Times New Roman"/>
          <w:b/>
          <w:bCs/>
          <w:color w:val="000000"/>
          <w:sz w:val="24"/>
          <w:lang w:val="pl-PL"/>
        </w:rPr>
        <w:t xml:space="preserve">Natomiast powyższe zadanie nie zostało ujęte w </w:t>
      </w:r>
      <w:r w:rsidR="00177819">
        <w:rPr>
          <w:rFonts w:ascii="Times New Roman" w:hAnsi="Times New Roman"/>
          <w:b/>
          <w:bCs/>
          <w:color w:val="000000"/>
          <w:sz w:val="24"/>
          <w:lang w:val="pl-PL"/>
        </w:rPr>
        <w:t>Budżecie oraz WPF-WPI</w:t>
      </w:r>
      <w:r w:rsidR="009035F6" w:rsidRPr="00A3657B">
        <w:rPr>
          <w:rFonts w:ascii="Times New Roman" w:hAnsi="Times New Roman"/>
          <w:b/>
          <w:bCs/>
          <w:color w:val="000000"/>
          <w:sz w:val="24"/>
          <w:lang w:val="pl-PL"/>
        </w:rPr>
        <w:t>. Szacowany koszt wnioskowanego zadania wynosi 35 500 000,00 zł.</w:t>
      </w:r>
      <w:r w:rsidR="00B50635">
        <w:rPr>
          <w:rFonts w:ascii="Times New Roman" w:hAnsi="Times New Roman"/>
          <w:b/>
          <w:bCs/>
          <w:color w:val="000000"/>
          <w:sz w:val="24"/>
          <w:lang w:val="pl-PL"/>
        </w:rPr>
        <w:t xml:space="preserve"> </w:t>
      </w:r>
      <w:r w:rsidR="00B50635">
        <w:rPr>
          <w:rFonts w:ascii="Times New Roman" w:hAnsi="Times New Roman"/>
          <w:color w:val="000000"/>
          <w:sz w:val="24"/>
          <w:lang w:val="pl-PL"/>
        </w:rPr>
        <w:t xml:space="preserve">Co więcej, </w:t>
      </w:r>
      <w:r w:rsidR="00B50635" w:rsidRPr="00B00861">
        <w:rPr>
          <w:rFonts w:ascii="Times New Roman" w:hAnsi="Times New Roman"/>
          <w:b/>
          <w:bCs/>
          <w:color w:val="000000"/>
          <w:sz w:val="24"/>
          <w:lang w:val="pl-PL"/>
        </w:rPr>
        <w:t xml:space="preserve">teren na którym miałaby zostać zlokalizowana płyta manewrowa należy do Państwowego Gospodarstwa Wodnego „Wody Polskie”. </w:t>
      </w:r>
    </w:p>
    <w:p w:rsidR="003409F3" w:rsidRPr="003409F3" w:rsidRDefault="003409F3" w:rsidP="003409F3">
      <w:pPr>
        <w:spacing w:before="120"/>
        <w:ind w:firstLine="709"/>
        <w:jc w:val="both"/>
        <w:rPr>
          <w:rFonts w:ascii="Times New Roman" w:hAnsi="Times New Roman"/>
          <w:color w:val="000000"/>
          <w:sz w:val="24"/>
          <w:lang w:val="pl-PL"/>
        </w:rPr>
      </w:pPr>
      <w:r w:rsidRPr="003409F3">
        <w:rPr>
          <w:rFonts w:ascii="Times New Roman" w:hAnsi="Times New Roman"/>
          <w:color w:val="000000"/>
          <w:sz w:val="24"/>
          <w:lang w:val="pl-PL"/>
        </w:rPr>
        <w:lastRenderedPageBreak/>
        <w:t xml:space="preserve">Przedmiotowy teren to w większości utwardzony plac manewrowy z nawierzchnią szutrową, który na co dzień - zwłaszcza w okresie letnim - służy jako parking dla samochodów osobowych i autokarów przewożących turystów zwiedzających klasztor opactwa oo. Benedyktynów w Tyńcu oraz korzystających ze ścieżek rowerowych i tramwaju wodnego, którego przystanek również zlokalizowany jest w tym miejscu. Do parkingu prowadzi asfaltowa droga która umożliwia dojazd samochodami zarówno osobowymi jak i ciężarowymi. Na przedmiotowej działce znajduje się również utwardzony slip wykonany z </w:t>
      </w:r>
      <w:r>
        <w:rPr>
          <w:rFonts w:ascii="Times New Roman" w:hAnsi="Times New Roman"/>
          <w:color w:val="000000"/>
          <w:sz w:val="24"/>
          <w:lang w:val="pl-PL"/>
        </w:rPr>
        <w:t>płyt</w:t>
      </w:r>
      <w:r w:rsidRPr="003409F3">
        <w:rPr>
          <w:rFonts w:ascii="Times New Roman" w:hAnsi="Times New Roman"/>
          <w:color w:val="000000"/>
          <w:sz w:val="24"/>
          <w:lang w:val="pl-PL"/>
        </w:rPr>
        <w:t xml:space="preserve"> betonowych umożliwiający wodowanie łodzi i innego sprzętu pływającego. Na przeciwnym brzegu rzeki Wisły znajduje się dogodne miejsce zarówno do wodowania sprzętu pływającego jak i do ustawienia samochodów ratowniczych. Od 2019 r</w:t>
      </w:r>
      <w:r w:rsidR="00F33283">
        <w:rPr>
          <w:rFonts w:ascii="Times New Roman" w:hAnsi="Times New Roman"/>
          <w:color w:val="000000"/>
          <w:sz w:val="24"/>
          <w:lang w:val="pl-PL"/>
        </w:rPr>
        <w:t>.</w:t>
      </w:r>
      <w:r w:rsidRPr="003409F3">
        <w:rPr>
          <w:rFonts w:ascii="Times New Roman" w:hAnsi="Times New Roman"/>
          <w:color w:val="000000"/>
          <w:sz w:val="24"/>
          <w:lang w:val="pl-PL"/>
        </w:rPr>
        <w:t xml:space="preserve"> na tym terenie została na powrót uruchomiona przeprawa rzeczna służąca do przewożenia pieszych i rowerzystów pomiędzy brzegami rzeki.</w:t>
      </w:r>
    </w:p>
    <w:p w:rsidR="003409F3" w:rsidRPr="003409F3" w:rsidRDefault="003409F3" w:rsidP="003409F3">
      <w:pPr>
        <w:spacing w:before="120"/>
        <w:ind w:firstLine="709"/>
        <w:jc w:val="both"/>
        <w:rPr>
          <w:rFonts w:ascii="Times New Roman" w:hAnsi="Times New Roman"/>
          <w:color w:val="000000"/>
          <w:sz w:val="24"/>
          <w:lang w:val="pl-PL"/>
        </w:rPr>
      </w:pPr>
      <w:r w:rsidRPr="003409F3">
        <w:rPr>
          <w:rFonts w:ascii="Times New Roman" w:hAnsi="Times New Roman"/>
          <w:color w:val="000000"/>
          <w:sz w:val="24"/>
          <w:lang w:val="pl-PL"/>
        </w:rPr>
        <w:t xml:space="preserve">Biorąc pod uwagę powyższe, miejsce to umożliwia prowadzenie zarówno ewentualnych działań gaśniczych na terenie opactwa oo. Benedyktynów w Tyńcu jak i ratowniczych na rzece Wiśle w tym: wodowanie łodzi, sprawianie sprzętu służącego do zbierania substancji ropopochodnych, działań </w:t>
      </w:r>
      <w:proofErr w:type="spellStart"/>
      <w:r w:rsidRPr="003409F3">
        <w:rPr>
          <w:rFonts w:ascii="Times New Roman" w:hAnsi="Times New Roman"/>
          <w:color w:val="000000"/>
          <w:sz w:val="24"/>
          <w:lang w:val="pl-PL"/>
        </w:rPr>
        <w:t>wodno</w:t>
      </w:r>
      <w:proofErr w:type="spellEnd"/>
      <w:r w:rsidRPr="003409F3">
        <w:rPr>
          <w:rFonts w:ascii="Times New Roman" w:hAnsi="Times New Roman"/>
          <w:color w:val="000000"/>
          <w:sz w:val="24"/>
          <w:lang w:val="pl-PL"/>
        </w:rPr>
        <w:t xml:space="preserve"> — nurkowych (również w trakcie ćwiczeń), czy też ewentualnych działań gaśniczych (ustawienie pomp dużej wydajności). Ewentualna inwestycja polegająca na zagospodarowaniu tego terenu, przyczyni się do poprawienia warunków pracy w tym rejonie, w szczególności w przypadku wystąpienia niekorzystnych warunków atmosferycznych (intensywnych opadów deszczu). Należy w tym miejscu również nadmienić, że działająca w tym rejonie Krakowa jednostka Ochotniczej Straży Pożarnej w Tyńcu we wrześniu 2018r. otrzymała łódź motorową (wyposażoną w sonar), która jako pierwsza może podjąć działania ratownicze w tym odcinku rzeki Wisły.</w:t>
      </w:r>
    </w:p>
    <w:p w:rsidR="003409F3" w:rsidRDefault="003409F3" w:rsidP="003409F3">
      <w:pPr>
        <w:spacing w:before="120"/>
        <w:ind w:firstLine="709"/>
        <w:jc w:val="both"/>
        <w:rPr>
          <w:rFonts w:ascii="Times New Roman" w:hAnsi="Times New Roman"/>
          <w:color w:val="000000"/>
          <w:sz w:val="24"/>
          <w:lang w:val="pl-PL"/>
        </w:rPr>
      </w:pPr>
      <w:r w:rsidRPr="003409F3">
        <w:rPr>
          <w:rFonts w:ascii="Times New Roman" w:hAnsi="Times New Roman"/>
          <w:color w:val="000000"/>
          <w:sz w:val="24"/>
          <w:lang w:val="pl-PL"/>
        </w:rPr>
        <w:t>Reasumując, przedmiotowa inwestycja może przyczynić się do poprawy warunków wodowania łodzi ratowniczych, jak również może stanowić punkt czerpania wody w przypadku działań gaśniczych na terenie opactwa oo. Benedyktynów</w:t>
      </w:r>
      <w:r w:rsidR="003C1924">
        <w:rPr>
          <w:rFonts w:ascii="Times New Roman" w:hAnsi="Times New Roman"/>
          <w:color w:val="000000"/>
          <w:sz w:val="24"/>
          <w:lang w:val="pl-PL"/>
        </w:rPr>
        <w:t>.</w:t>
      </w:r>
    </w:p>
    <w:p w:rsidR="00F33283" w:rsidRPr="00D96A20" w:rsidRDefault="00B50635" w:rsidP="003409F3">
      <w:pPr>
        <w:spacing w:before="120"/>
        <w:ind w:firstLine="709"/>
        <w:jc w:val="both"/>
        <w:rPr>
          <w:rFonts w:ascii="Times New Roman" w:hAnsi="Times New Roman"/>
          <w:color w:val="000000"/>
          <w:sz w:val="24"/>
          <w:lang w:val="pl-PL"/>
        </w:rPr>
      </w:pPr>
      <w:r w:rsidRPr="00B00861">
        <w:rPr>
          <w:rFonts w:ascii="Times New Roman" w:hAnsi="Times New Roman"/>
          <w:b/>
          <w:bCs/>
          <w:color w:val="000000"/>
          <w:sz w:val="24"/>
          <w:lang w:val="pl-PL"/>
        </w:rPr>
        <w:t xml:space="preserve">Realizacja płyty </w:t>
      </w:r>
      <w:r w:rsidR="008E721A">
        <w:rPr>
          <w:rFonts w:ascii="Times New Roman" w:hAnsi="Times New Roman"/>
          <w:b/>
          <w:bCs/>
          <w:color w:val="000000"/>
          <w:sz w:val="24"/>
          <w:lang w:val="pl-PL"/>
        </w:rPr>
        <w:t xml:space="preserve">postojowej </w:t>
      </w:r>
      <w:r w:rsidRPr="00B00861">
        <w:rPr>
          <w:rFonts w:ascii="Times New Roman" w:hAnsi="Times New Roman"/>
          <w:b/>
          <w:bCs/>
          <w:color w:val="000000"/>
          <w:sz w:val="24"/>
          <w:lang w:val="pl-PL"/>
        </w:rPr>
        <w:t xml:space="preserve">wymagałaby budowy odwodnienia, albowiem </w:t>
      </w:r>
      <w:r w:rsidR="008E721A">
        <w:rPr>
          <w:rFonts w:ascii="Times New Roman" w:hAnsi="Times New Roman"/>
          <w:b/>
          <w:bCs/>
          <w:color w:val="000000"/>
          <w:sz w:val="24"/>
          <w:lang w:val="pl-PL"/>
        </w:rPr>
        <w:t>w</w:t>
      </w:r>
      <w:r w:rsidRPr="00B00861">
        <w:rPr>
          <w:rFonts w:ascii="Times New Roman" w:hAnsi="Times New Roman"/>
          <w:b/>
          <w:bCs/>
          <w:color w:val="000000"/>
          <w:sz w:val="24"/>
          <w:lang w:val="pl-PL"/>
        </w:rPr>
        <w:t xml:space="preserve"> bezpośrednim sąsiedztwie przedmiotowej działki nie ma miejskiej sieci kanalizacji opadowej, </w:t>
      </w:r>
      <w:r w:rsidR="008E721A">
        <w:rPr>
          <w:rFonts w:ascii="Times New Roman" w:hAnsi="Times New Roman"/>
          <w:b/>
          <w:bCs/>
          <w:color w:val="000000"/>
          <w:sz w:val="24"/>
          <w:lang w:val="pl-PL"/>
        </w:rPr>
        <w:t>a także</w:t>
      </w:r>
      <w:r w:rsidRPr="00B00861">
        <w:rPr>
          <w:rFonts w:ascii="Times New Roman" w:hAnsi="Times New Roman"/>
          <w:b/>
          <w:bCs/>
          <w:color w:val="000000"/>
          <w:sz w:val="24"/>
          <w:lang w:val="pl-PL"/>
        </w:rPr>
        <w:t xml:space="preserve"> kompleksowej rozbudowy ul. Benedyktyńskiej.</w:t>
      </w:r>
      <w:r w:rsidRPr="00B50635">
        <w:rPr>
          <w:rFonts w:ascii="Times New Roman" w:hAnsi="Times New Roman"/>
          <w:color w:val="000000"/>
          <w:sz w:val="24"/>
          <w:lang w:val="pl-PL"/>
        </w:rPr>
        <w:t xml:space="preserve"> W chwili obecnej ulica ta jest niedostosowana do pełnionej funkcji. Jest wąska, nie posiada chodników, a na niektórych odcinkach także poboczy. Biorąc pod uwagę, że ul. Benedyktyńska stanowi główny ciąg komunikacyjny do Opactwa Benedyktynów w Tyńcu oraz przeprawy promowej, w trosce o bezpieczeństwo wszystkich uczestników ruchu, winny być dostosowane do bieżącej struktury ruchu.</w:t>
      </w:r>
    </w:p>
    <w:sectPr w:rsidR="00F33283" w:rsidRPr="00D96A20" w:rsidSect="007F215C">
      <w:pgSz w:w="11918" w:h="16854"/>
      <w:pgMar w:top="1417" w:right="1417" w:bottom="1417" w:left="141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B6C" w:rsidRDefault="00E36B6C" w:rsidP="00EB08C9">
      <w:r>
        <w:separator/>
      </w:r>
    </w:p>
  </w:endnote>
  <w:endnote w:type="continuationSeparator" w:id="0">
    <w:p w:rsidR="00E36B6C" w:rsidRDefault="00E36B6C" w:rsidP="00EB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B6C" w:rsidRDefault="00E36B6C" w:rsidP="00EB08C9">
      <w:r>
        <w:separator/>
      </w:r>
    </w:p>
  </w:footnote>
  <w:footnote w:type="continuationSeparator" w:id="0">
    <w:p w:rsidR="00E36B6C" w:rsidRDefault="00E36B6C" w:rsidP="00EB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BA"/>
    <w:rsid w:val="0002061E"/>
    <w:rsid w:val="00020AD9"/>
    <w:rsid w:val="00054C4B"/>
    <w:rsid w:val="000B0464"/>
    <w:rsid w:val="000D1C11"/>
    <w:rsid w:val="00105A1B"/>
    <w:rsid w:val="00134BDB"/>
    <w:rsid w:val="001472BE"/>
    <w:rsid w:val="00152522"/>
    <w:rsid w:val="00160098"/>
    <w:rsid w:val="001635F3"/>
    <w:rsid w:val="001756D2"/>
    <w:rsid w:val="00177819"/>
    <w:rsid w:val="0019174A"/>
    <w:rsid w:val="001B78C9"/>
    <w:rsid w:val="00226F4F"/>
    <w:rsid w:val="00240CA8"/>
    <w:rsid w:val="00260EB1"/>
    <w:rsid w:val="00287EFC"/>
    <w:rsid w:val="002D56BA"/>
    <w:rsid w:val="002F0E9B"/>
    <w:rsid w:val="00300713"/>
    <w:rsid w:val="00317EBD"/>
    <w:rsid w:val="00333070"/>
    <w:rsid w:val="003409F3"/>
    <w:rsid w:val="00346C4C"/>
    <w:rsid w:val="003562FE"/>
    <w:rsid w:val="0036312C"/>
    <w:rsid w:val="003873FF"/>
    <w:rsid w:val="003A0FF2"/>
    <w:rsid w:val="003A10C3"/>
    <w:rsid w:val="003A12DB"/>
    <w:rsid w:val="003A4AA5"/>
    <w:rsid w:val="003C1924"/>
    <w:rsid w:val="003F2D28"/>
    <w:rsid w:val="003F4BEF"/>
    <w:rsid w:val="003F5E8F"/>
    <w:rsid w:val="004615AC"/>
    <w:rsid w:val="00464333"/>
    <w:rsid w:val="004662DC"/>
    <w:rsid w:val="0049361E"/>
    <w:rsid w:val="004C143F"/>
    <w:rsid w:val="004C5D81"/>
    <w:rsid w:val="004D59A1"/>
    <w:rsid w:val="00504487"/>
    <w:rsid w:val="00521A30"/>
    <w:rsid w:val="00547B63"/>
    <w:rsid w:val="00557F60"/>
    <w:rsid w:val="005862ED"/>
    <w:rsid w:val="005A4AB2"/>
    <w:rsid w:val="005C64FD"/>
    <w:rsid w:val="005E498C"/>
    <w:rsid w:val="005E4F63"/>
    <w:rsid w:val="00620EF1"/>
    <w:rsid w:val="00622203"/>
    <w:rsid w:val="006559C7"/>
    <w:rsid w:val="006916CB"/>
    <w:rsid w:val="006A3A07"/>
    <w:rsid w:val="006B5641"/>
    <w:rsid w:val="006E19E6"/>
    <w:rsid w:val="006F3675"/>
    <w:rsid w:val="007176BB"/>
    <w:rsid w:val="00741FE2"/>
    <w:rsid w:val="0075156B"/>
    <w:rsid w:val="00754B26"/>
    <w:rsid w:val="0076393A"/>
    <w:rsid w:val="00766D29"/>
    <w:rsid w:val="007759C0"/>
    <w:rsid w:val="0078642D"/>
    <w:rsid w:val="007C3300"/>
    <w:rsid w:val="007F14DB"/>
    <w:rsid w:val="007F215C"/>
    <w:rsid w:val="00834F7B"/>
    <w:rsid w:val="00861BF7"/>
    <w:rsid w:val="008666E4"/>
    <w:rsid w:val="00887AB0"/>
    <w:rsid w:val="00894485"/>
    <w:rsid w:val="008A2F5F"/>
    <w:rsid w:val="008A56B6"/>
    <w:rsid w:val="008B1841"/>
    <w:rsid w:val="008C0199"/>
    <w:rsid w:val="008C0CD2"/>
    <w:rsid w:val="008C1676"/>
    <w:rsid w:val="008E721A"/>
    <w:rsid w:val="008F2F80"/>
    <w:rsid w:val="008F63C5"/>
    <w:rsid w:val="009035F6"/>
    <w:rsid w:val="009076F4"/>
    <w:rsid w:val="00961FF2"/>
    <w:rsid w:val="009912B9"/>
    <w:rsid w:val="009C2727"/>
    <w:rsid w:val="009D6530"/>
    <w:rsid w:val="00A27466"/>
    <w:rsid w:val="00A3657B"/>
    <w:rsid w:val="00A52760"/>
    <w:rsid w:val="00A94F32"/>
    <w:rsid w:val="00A954E5"/>
    <w:rsid w:val="00AB32B3"/>
    <w:rsid w:val="00AB7B45"/>
    <w:rsid w:val="00AF511A"/>
    <w:rsid w:val="00AF6DC6"/>
    <w:rsid w:val="00B00861"/>
    <w:rsid w:val="00B16BEA"/>
    <w:rsid w:val="00B37772"/>
    <w:rsid w:val="00B50635"/>
    <w:rsid w:val="00B6068B"/>
    <w:rsid w:val="00B80260"/>
    <w:rsid w:val="00BC51F8"/>
    <w:rsid w:val="00BF51BF"/>
    <w:rsid w:val="00BF7A65"/>
    <w:rsid w:val="00C3191E"/>
    <w:rsid w:val="00C37D05"/>
    <w:rsid w:val="00C415DC"/>
    <w:rsid w:val="00C425DD"/>
    <w:rsid w:val="00C453C8"/>
    <w:rsid w:val="00C55EC5"/>
    <w:rsid w:val="00C603D1"/>
    <w:rsid w:val="00C65344"/>
    <w:rsid w:val="00C75965"/>
    <w:rsid w:val="00C873D1"/>
    <w:rsid w:val="00C94BB4"/>
    <w:rsid w:val="00CA0586"/>
    <w:rsid w:val="00CC5335"/>
    <w:rsid w:val="00CD076C"/>
    <w:rsid w:val="00D13FA3"/>
    <w:rsid w:val="00D2289F"/>
    <w:rsid w:val="00D54343"/>
    <w:rsid w:val="00D62ECF"/>
    <w:rsid w:val="00D96A20"/>
    <w:rsid w:val="00DC0DB4"/>
    <w:rsid w:val="00DC4736"/>
    <w:rsid w:val="00DC6924"/>
    <w:rsid w:val="00DD18EA"/>
    <w:rsid w:val="00DE537D"/>
    <w:rsid w:val="00DE6FA4"/>
    <w:rsid w:val="00E01252"/>
    <w:rsid w:val="00E36B6C"/>
    <w:rsid w:val="00E377E7"/>
    <w:rsid w:val="00E408A3"/>
    <w:rsid w:val="00E71AFD"/>
    <w:rsid w:val="00E725F4"/>
    <w:rsid w:val="00E74287"/>
    <w:rsid w:val="00E74331"/>
    <w:rsid w:val="00E8373A"/>
    <w:rsid w:val="00EA4D97"/>
    <w:rsid w:val="00EB08C9"/>
    <w:rsid w:val="00EB4ECD"/>
    <w:rsid w:val="00EC6AE3"/>
    <w:rsid w:val="00EE7EE5"/>
    <w:rsid w:val="00F2048F"/>
    <w:rsid w:val="00F21C52"/>
    <w:rsid w:val="00F33283"/>
    <w:rsid w:val="00F35E40"/>
    <w:rsid w:val="00F379F5"/>
    <w:rsid w:val="00F55101"/>
    <w:rsid w:val="00F55393"/>
    <w:rsid w:val="00F632B4"/>
    <w:rsid w:val="00F74EC6"/>
    <w:rsid w:val="00F75CE1"/>
    <w:rsid w:val="00F830FB"/>
    <w:rsid w:val="00FC209F"/>
    <w:rsid w:val="00FE5CD2"/>
    <w:rsid w:val="00FF1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8880"/>
  <w15:docId w15:val="{8B572348-9206-4C9A-A5DD-BAC9766A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54343"/>
  </w:style>
  <w:style w:type="paragraph" w:styleId="Nagwek1">
    <w:name w:val="heading 1"/>
    <w:basedOn w:val="Normalny"/>
    <w:next w:val="Normalny"/>
    <w:link w:val="Nagwek1Znak"/>
    <w:uiPriority w:val="9"/>
    <w:qFormat/>
    <w:rsid w:val="00EB08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662DC"/>
    <w:rPr>
      <w:rFonts w:ascii="Verdana" w:hAnsi="Verdana" w:hint="default"/>
      <w:b/>
      <w:bCs/>
      <w:strike w:val="0"/>
      <w:dstrike w:val="0"/>
      <w:color w:val="7D7D7D"/>
      <w:u w:val="none"/>
      <w:effect w:val="none"/>
    </w:rPr>
  </w:style>
  <w:style w:type="paragraph" w:styleId="Tekstdymka">
    <w:name w:val="Balloon Text"/>
    <w:basedOn w:val="Normalny"/>
    <w:link w:val="TekstdymkaZnak"/>
    <w:uiPriority w:val="99"/>
    <w:semiHidden/>
    <w:unhideWhenUsed/>
    <w:rsid w:val="00BF7A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7A65"/>
    <w:rPr>
      <w:rFonts w:ascii="Segoe UI" w:hAnsi="Segoe UI" w:cs="Segoe UI"/>
      <w:sz w:val="18"/>
      <w:szCs w:val="18"/>
    </w:rPr>
  </w:style>
  <w:style w:type="character" w:customStyle="1" w:styleId="Nagwek1Znak">
    <w:name w:val="Nagłówek 1 Znak"/>
    <w:basedOn w:val="Domylnaczcionkaakapitu"/>
    <w:link w:val="Nagwek1"/>
    <w:uiPriority w:val="9"/>
    <w:rsid w:val="00EB08C9"/>
    <w:rPr>
      <w:rFonts w:asciiTheme="majorHAnsi" w:eastAsiaTheme="majorEastAsia" w:hAnsiTheme="majorHAnsi" w:cstheme="majorBidi"/>
      <w:color w:val="2E74B5" w:themeColor="accent1" w:themeShade="BF"/>
      <w:sz w:val="32"/>
      <w:szCs w:val="32"/>
    </w:rPr>
  </w:style>
  <w:style w:type="paragraph" w:styleId="Tekstprzypisukocowego">
    <w:name w:val="endnote text"/>
    <w:basedOn w:val="Normalny"/>
    <w:link w:val="TekstprzypisukocowegoZnak"/>
    <w:uiPriority w:val="99"/>
    <w:semiHidden/>
    <w:unhideWhenUsed/>
    <w:rsid w:val="00EB08C9"/>
    <w:rPr>
      <w:sz w:val="20"/>
      <w:szCs w:val="20"/>
    </w:rPr>
  </w:style>
  <w:style w:type="character" w:customStyle="1" w:styleId="TekstprzypisukocowegoZnak">
    <w:name w:val="Tekst przypisu końcowego Znak"/>
    <w:basedOn w:val="Domylnaczcionkaakapitu"/>
    <w:link w:val="Tekstprzypisukocowego"/>
    <w:uiPriority w:val="99"/>
    <w:semiHidden/>
    <w:rsid w:val="00EB08C9"/>
    <w:rPr>
      <w:sz w:val="20"/>
      <w:szCs w:val="20"/>
    </w:rPr>
  </w:style>
  <w:style w:type="character" w:styleId="Odwoanieprzypisukocowego">
    <w:name w:val="endnote reference"/>
    <w:basedOn w:val="Domylnaczcionkaakapitu"/>
    <w:uiPriority w:val="99"/>
    <w:semiHidden/>
    <w:unhideWhenUsed/>
    <w:rsid w:val="00EB0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994750">
      <w:bodyDiv w:val="1"/>
      <w:marLeft w:val="0"/>
      <w:marRight w:val="0"/>
      <w:marTop w:val="0"/>
      <w:marBottom w:val="0"/>
      <w:divBdr>
        <w:top w:val="none" w:sz="0" w:space="0" w:color="auto"/>
        <w:left w:val="none" w:sz="0" w:space="0" w:color="auto"/>
        <w:bottom w:val="none" w:sz="0" w:space="0" w:color="auto"/>
        <w:right w:val="none" w:sz="0" w:space="0" w:color="auto"/>
      </w:divBdr>
    </w:div>
    <w:div w:id="1597057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1345</Words>
  <Characters>8074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Jasiński Leszek</dc:creator>
  <cp:lastModifiedBy>Chronowska-Panek Renata</cp:lastModifiedBy>
  <cp:revision>105</cp:revision>
  <cp:lastPrinted>2019-04-19T08:50:00Z</cp:lastPrinted>
  <dcterms:created xsi:type="dcterms:W3CDTF">2020-01-29T09:17:00Z</dcterms:created>
  <dcterms:modified xsi:type="dcterms:W3CDTF">2020-02-06T08:49:00Z</dcterms:modified>
</cp:coreProperties>
</file>